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附件一：</w:t>
      </w:r>
    </w:p>
    <w:p>
      <w:pPr>
        <w:spacing w:before="156" w:line="219" w:lineRule="auto"/>
        <w:jc w:val="center"/>
        <w:outlineLvl w:val="9"/>
        <w:rPr>
          <w:rFonts w:ascii="新宋体" w:hAnsi="新宋体" w:eastAsia="新宋体" w:cs="新宋体"/>
          <w:sz w:val="48"/>
          <w:szCs w:val="48"/>
        </w:rPr>
      </w:pPr>
      <w:r>
        <w:rPr>
          <w:rFonts w:hint="eastAsia" w:ascii="宋体" w:hAnsi="宋体" w:eastAsia="宋体" w:cs="宋体"/>
          <w:spacing w:val="-3"/>
          <w:sz w:val="44"/>
          <w:szCs w:val="44"/>
          <w:lang w:eastAsia="zh-CN"/>
        </w:rPr>
        <w:t>川渝医药行业协会团体标准</w:t>
      </w:r>
      <w:r>
        <w:rPr>
          <w:rFonts w:ascii="宋体" w:hAnsi="宋体" w:eastAsia="宋体" w:cs="宋体"/>
          <w:spacing w:val="-90"/>
          <w:sz w:val="44"/>
          <w:szCs w:val="44"/>
        </w:rPr>
        <w:t xml:space="preserve"> </w:t>
      </w:r>
      <w:r>
        <w:rPr>
          <w:rFonts w:ascii="新宋体" w:hAnsi="新宋体" w:eastAsia="新宋体" w:cs="新宋体"/>
          <w:spacing w:val="-3"/>
          <w:sz w:val="44"/>
          <w:szCs w:val="44"/>
        </w:rPr>
        <w:t>TB</w:t>
      </w:r>
    </w:p>
    <w:p>
      <w:pPr>
        <w:pStyle w:val="2"/>
        <w:spacing w:line="406" w:lineRule="auto"/>
      </w:pPr>
    </w:p>
    <w:p>
      <w:pPr>
        <w:spacing w:before="91" w:line="225" w:lineRule="auto"/>
        <w:ind w:left="7174"/>
        <w:rPr>
          <w:rFonts w:hint="eastAsia" w:ascii="新宋体" w:hAnsi="新宋体" w:eastAsia="新宋体" w:cs="新宋体"/>
          <w:color w:val="auto"/>
          <w:sz w:val="28"/>
          <w:szCs w:val="28"/>
          <w:lang w:eastAsia="zh-CN"/>
        </w:rPr>
      </w:pPr>
      <w:r>
        <w:rPr>
          <w:rFonts w:ascii="新宋体" w:hAnsi="新宋体" w:eastAsia="新宋体" w:cs="新宋体"/>
          <w:color w:val="auto"/>
          <w:spacing w:val="-1"/>
          <w:sz w:val="28"/>
          <w:szCs w:val="28"/>
        </w:rPr>
        <w:t>T/</w:t>
      </w:r>
      <w:r>
        <w:rPr>
          <w:rFonts w:hint="eastAsia" w:ascii="新宋体" w:hAnsi="新宋体" w:eastAsia="新宋体" w:cs="新宋体"/>
          <w:color w:val="auto"/>
          <w:spacing w:val="-1"/>
          <w:sz w:val="28"/>
          <w:szCs w:val="28"/>
          <w:lang w:val="en-US" w:eastAsia="zh-CN"/>
        </w:rPr>
        <w:t>SCYY--001--</w:t>
      </w:r>
      <w:r>
        <w:rPr>
          <w:rFonts w:ascii="新宋体" w:hAnsi="新宋体" w:eastAsia="新宋体" w:cs="新宋体"/>
          <w:color w:val="auto"/>
          <w:spacing w:val="-1"/>
          <w:sz w:val="28"/>
          <w:szCs w:val="28"/>
        </w:rPr>
        <w:t>202</w:t>
      </w:r>
      <w:r>
        <w:rPr>
          <w:rFonts w:hint="eastAsia" w:ascii="新宋体" w:hAnsi="新宋体" w:eastAsia="新宋体" w:cs="新宋体"/>
          <w:color w:val="auto"/>
          <w:spacing w:val="-1"/>
          <w:sz w:val="28"/>
          <w:szCs w:val="28"/>
          <w:lang w:val="en-US" w:eastAsia="zh-CN"/>
        </w:rPr>
        <w:t>4</w:t>
      </w:r>
    </w:p>
    <w:p>
      <w:pPr>
        <w:pStyle w:val="2"/>
        <w:spacing w:line="345" w:lineRule="auto"/>
      </w:pPr>
    </w:p>
    <w:p>
      <w:pPr>
        <w:spacing w:line="60" w:lineRule="exact"/>
        <w:ind w:firstLine="4"/>
      </w:pPr>
      <w:r>
        <w:rPr>
          <w:position w:val="-1"/>
        </w:rPr>
        <w:drawing>
          <wp:inline distT="0" distB="0" distL="0" distR="0">
            <wp:extent cx="6144895" cy="37465"/>
            <wp:effectExtent l="0" t="0" r="8255" b="6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6145529" cy="38098"/>
                    </a:xfrm>
                    <a:prstGeom prst="rect">
                      <a:avLst/>
                    </a:prstGeom>
                  </pic:spPr>
                </pic:pic>
              </a:graphicData>
            </a:graphic>
          </wp:inline>
        </w:drawing>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366" w:lineRule="auto"/>
        <w:jc w:val="center"/>
        <w:outlineLvl w:val="9"/>
        <w:rPr>
          <w:rFonts w:hint="eastAsia" w:ascii="宋体" w:hAnsi="宋体" w:eastAsia="宋体" w:cs="宋体"/>
          <w:b w:val="0"/>
          <w:bCs w:val="0"/>
          <w:spacing w:val="-3"/>
          <w:sz w:val="48"/>
          <w:szCs w:val="48"/>
          <w:lang w:eastAsia="zh-CN"/>
        </w:rPr>
      </w:pPr>
      <w:r>
        <w:rPr>
          <w:rFonts w:hint="eastAsia" w:ascii="宋体" w:hAnsi="宋体" w:eastAsia="宋体" w:cs="宋体"/>
          <w:b w:val="0"/>
          <w:bCs w:val="0"/>
          <w:spacing w:val="-3"/>
          <w:sz w:val="44"/>
          <w:szCs w:val="44"/>
          <w:lang w:eastAsia="zh-CN"/>
        </w:rPr>
        <w:t>川渝医药行业企业信用评价规范（征求意见稿）</w:t>
      </w:r>
    </w:p>
    <w:p>
      <w:pPr>
        <w:pStyle w:val="2"/>
        <w:spacing w:line="366" w:lineRule="auto"/>
        <w:jc w:val="center"/>
        <w:outlineLvl w:val="9"/>
        <w:rPr>
          <w:rFonts w:hint="default" w:eastAsiaTheme="minorEastAsia"/>
          <w:sz w:val="21"/>
          <w:szCs w:val="24"/>
          <w:lang w:val="en-US" w:eastAsia="zh-CN"/>
        </w:rPr>
      </w:pPr>
      <w:r>
        <w:rPr>
          <w:rFonts w:hint="default" w:ascii="Times New Roman" w:hAnsi="Times New Roman" w:cs="Times New Roman"/>
          <w:b w:val="0"/>
          <w:bCs w:val="0"/>
          <w:i w:val="0"/>
          <w:iCs w:val="0"/>
          <w:caps w:val="0"/>
          <w:color w:val="313131"/>
          <w:spacing w:val="0"/>
          <w:sz w:val="24"/>
          <w:szCs w:val="24"/>
        </w:rPr>
        <w:t>Credit Evaluation Standards for Enterprises in the Sichuan Chongqing Pharmaceutical Industry</w:t>
      </w:r>
      <w:r>
        <w:rPr>
          <w:rFonts w:hint="eastAsia" w:ascii="Times New Roman" w:hAnsi="Times New Roman" w:cs="Times New Roman"/>
          <w:b w:val="0"/>
          <w:bCs w:val="0"/>
          <w:i w:val="0"/>
          <w:iCs w:val="0"/>
          <w:caps w:val="0"/>
          <w:color w:val="313131"/>
          <w:spacing w:val="0"/>
          <w:sz w:val="28"/>
          <w:szCs w:val="28"/>
          <w:lang w:val="en-US" w:eastAsia="zh-CN"/>
        </w:rPr>
        <w:t xml:space="preserve">  </w:t>
      </w:r>
      <w:r>
        <w:rPr>
          <w:rFonts w:hint="eastAsia" w:ascii="Times New Roman" w:hAnsi="Times New Roman" w:cs="Times New Roman"/>
          <w:b w:val="0"/>
          <w:bCs w:val="0"/>
          <w:i w:val="0"/>
          <w:iCs w:val="0"/>
          <w:caps w:val="0"/>
          <w:color w:val="313131"/>
          <w:spacing w:val="0"/>
          <w:sz w:val="24"/>
          <w:szCs w:val="24"/>
          <w:lang w:val="en-US" w:eastAsia="zh-CN"/>
        </w:rPr>
        <w:t xml:space="preserve"> </w:t>
      </w:r>
      <w:r>
        <w:rPr>
          <w:rFonts w:hint="eastAsia" w:ascii="Times New Roman" w:hAnsi="Times New Roman" w:cs="Times New Roman"/>
          <w:i w:val="0"/>
          <w:iCs w:val="0"/>
          <w:caps w:val="0"/>
          <w:color w:val="313131"/>
          <w:spacing w:val="0"/>
          <w:sz w:val="24"/>
          <w:szCs w:val="24"/>
          <w:lang w:val="en-US" w:eastAsia="zh-CN"/>
        </w:rPr>
        <w:t xml:space="preserve">      </w:t>
      </w: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92" w:line="219" w:lineRule="auto"/>
        <w:ind w:firstLine="1104" w:firstLineChars="400"/>
        <w:rPr>
          <w:rFonts w:ascii="宋体" w:hAnsi="宋体" w:eastAsia="宋体" w:cs="宋体"/>
          <w:b w:val="0"/>
          <w:bCs w:val="0"/>
          <w:sz w:val="28"/>
          <w:szCs w:val="28"/>
        </w:rPr>
      </w:pPr>
      <w:r>
        <w:rPr>
          <w:rFonts w:hint="eastAsia" w:ascii="新宋体" w:hAnsi="新宋体" w:eastAsia="新宋体" w:cs="新宋体"/>
          <w:b w:val="0"/>
          <w:bCs w:val="0"/>
          <w:color w:val="auto"/>
          <w:spacing w:val="-2"/>
          <w:sz w:val="28"/>
          <w:szCs w:val="28"/>
          <w:highlight w:val="none"/>
          <w:u w:val="none"/>
          <w:lang w:val="en-US" w:eastAsia="zh-CN"/>
        </w:rPr>
        <w:t>2024.**</w:t>
      </w:r>
      <w:r>
        <w:rPr>
          <w:rFonts w:ascii="宋体" w:hAnsi="宋体" w:eastAsia="宋体" w:cs="宋体"/>
          <w:b w:val="0"/>
          <w:bCs w:val="0"/>
          <w:color w:val="auto"/>
          <w:spacing w:val="-2"/>
          <w:sz w:val="28"/>
          <w:szCs w:val="28"/>
          <w:highlight w:val="none"/>
        </w:rPr>
        <w:t>发布</w:t>
      </w:r>
      <w:r>
        <w:rPr>
          <w:rFonts w:ascii="宋体" w:hAnsi="宋体" w:eastAsia="宋体" w:cs="宋体"/>
          <w:b w:val="0"/>
          <w:bCs w:val="0"/>
          <w:color w:val="auto"/>
          <w:spacing w:val="2"/>
          <w:sz w:val="28"/>
          <w:szCs w:val="28"/>
          <w:highlight w:val="none"/>
        </w:rPr>
        <w:t xml:space="preserve">                  </w:t>
      </w:r>
      <w:r>
        <w:rPr>
          <w:rFonts w:hint="eastAsia" w:ascii="宋体" w:hAnsi="宋体" w:eastAsia="宋体" w:cs="宋体"/>
          <w:b w:val="0"/>
          <w:bCs w:val="0"/>
          <w:color w:val="auto"/>
          <w:spacing w:val="2"/>
          <w:sz w:val="28"/>
          <w:szCs w:val="28"/>
          <w:highlight w:val="none"/>
          <w:lang w:val="en-US" w:eastAsia="zh-CN"/>
        </w:rPr>
        <w:t xml:space="preserve">         </w:t>
      </w:r>
      <w:r>
        <w:rPr>
          <w:rFonts w:ascii="新宋体" w:hAnsi="新宋体" w:eastAsia="新宋体" w:cs="新宋体"/>
          <w:b w:val="0"/>
          <w:bCs w:val="0"/>
          <w:color w:val="auto"/>
          <w:spacing w:val="-2"/>
          <w:sz w:val="28"/>
          <w:szCs w:val="28"/>
          <w:highlight w:val="none"/>
        </w:rPr>
        <w:t>202</w:t>
      </w:r>
      <w:r>
        <w:rPr>
          <w:rFonts w:hint="eastAsia" w:ascii="新宋体" w:hAnsi="新宋体" w:eastAsia="新宋体" w:cs="新宋体"/>
          <w:b w:val="0"/>
          <w:bCs w:val="0"/>
          <w:color w:val="auto"/>
          <w:spacing w:val="-2"/>
          <w:sz w:val="28"/>
          <w:szCs w:val="28"/>
          <w:highlight w:val="none"/>
          <w:lang w:val="en-US" w:eastAsia="zh-CN"/>
        </w:rPr>
        <w:t>4**</w:t>
      </w:r>
      <w:r>
        <w:rPr>
          <w:rFonts w:ascii="宋体" w:hAnsi="宋体" w:eastAsia="宋体" w:cs="宋体"/>
          <w:b w:val="0"/>
          <w:bCs w:val="0"/>
          <w:color w:val="auto"/>
          <w:spacing w:val="-2"/>
          <w:sz w:val="28"/>
          <w:szCs w:val="28"/>
          <w:highlight w:val="none"/>
        </w:rPr>
        <w:t>实</w:t>
      </w:r>
      <w:r>
        <w:rPr>
          <w:rFonts w:ascii="宋体" w:hAnsi="宋体" w:eastAsia="宋体" w:cs="宋体"/>
          <w:b w:val="0"/>
          <w:bCs w:val="0"/>
          <w:spacing w:val="-2"/>
          <w:sz w:val="28"/>
          <w:szCs w:val="28"/>
        </w:rPr>
        <w:t>施</w:t>
      </w:r>
    </w:p>
    <w:p>
      <w:pPr>
        <w:pStyle w:val="2"/>
        <w:spacing w:line="269" w:lineRule="auto"/>
        <w:rPr>
          <w:b w:val="0"/>
          <w:bCs w:val="0"/>
        </w:rPr>
      </w:pPr>
    </w:p>
    <w:p>
      <w:pPr>
        <w:spacing w:before="137" w:line="219" w:lineRule="auto"/>
        <w:outlineLvl w:val="9"/>
        <w:rPr>
          <w:rFonts w:hint="eastAsia" w:ascii="宋体" w:hAnsi="宋体" w:eastAsia="宋体" w:cs="宋体"/>
          <w:b w:val="0"/>
          <w:bCs w:val="0"/>
          <w:spacing w:val="-15"/>
          <w:sz w:val="36"/>
          <w:szCs w:val="36"/>
          <w:lang w:eastAsia="zh-CN"/>
        </w:rPr>
      </w:pPr>
    </w:p>
    <w:p>
      <w:pPr>
        <w:spacing w:before="137" w:line="219" w:lineRule="auto"/>
        <w:outlineLvl w:val="9"/>
        <w:rPr>
          <w:rFonts w:hint="eastAsia" w:ascii="宋体" w:hAnsi="宋体" w:eastAsia="宋体" w:cs="宋体"/>
          <w:b w:val="0"/>
          <w:bCs w:val="0"/>
          <w:spacing w:val="-15"/>
          <w:sz w:val="36"/>
          <w:szCs w:val="36"/>
          <w:lang w:eastAsia="zh-CN"/>
        </w:rPr>
      </w:pPr>
    </w:p>
    <w:p>
      <w:pPr>
        <w:spacing w:before="137" w:line="219" w:lineRule="auto"/>
        <w:outlineLvl w:val="9"/>
        <w:rPr>
          <w:rFonts w:hint="eastAsia" w:ascii="宋体" w:hAnsi="宋体" w:eastAsia="宋体" w:cs="宋体"/>
          <w:b w:val="0"/>
          <w:bCs w:val="0"/>
          <w:spacing w:val="-15"/>
          <w:sz w:val="36"/>
          <w:szCs w:val="36"/>
          <w:lang w:eastAsia="zh-CN"/>
        </w:rPr>
      </w:pPr>
    </w:p>
    <w:p>
      <w:pPr>
        <w:spacing w:before="137" w:line="219" w:lineRule="auto"/>
        <w:outlineLvl w:val="9"/>
        <w:rPr>
          <w:rFonts w:hint="eastAsia" w:ascii="宋体" w:hAnsi="宋体" w:eastAsia="宋体" w:cs="宋体"/>
          <w:b w:val="0"/>
          <w:bCs w:val="0"/>
          <w:spacing w:val="-15"/>
          <w:sz w:val="32"/>
          <w:szCs w:val="32"/>
          <w:lang w:val="en-US" w:eastAsia="zh-CN"/>
        </w:rPr>
      </w:pPr>
      <w:r>
        <w:rPr>
          <w:rFonts w:hint="eastAsia" w:ascii="宋体" w:hAnsi="宋体" w:eastAsia="宋体" w:cs="宋体"/>
          <w:b w:val="0"/>
          <w:bCs w:val="0"/>
          <w:spacing w:val="-15"/>
          <w:sz w:val="32"/>
          <w:szCs w:val="32"/>
          <w:lang w:eastAsia="zh-CN"/>
        </w:rPr>
        <w:t>四</w:t>
      </w:r>
      <w:r>
        <w:rPr>
          <w:rFonts w:hint="eastAsia" w:ascii="宋体" w:hAnsi="宋体" w:eastAsia="宋体" w:cs="宋体"/>
          <w:b w:val="0"/>
          <w:bCs w:val="0"/>
          <w:spacing w:val="-15"/>
          <w:sz w:val="32"/>
          <w:szCs w:val="32"/>
          <w:lang w:val="en-US" w:eastAsia="zh-CN"/>
        </w:rPr>
        <w:t xml:space="preserve"> </w:t>
      </w:r>
      <w:r>
        <w:rPr>
          <w:rFonts w:hint="eastAsia" w:ascii="宋体" w:hAnsi="宋体" w:eastAsia="宋体" w:cs="宋体"/>
          <w:b w:val="0"/>
          <w:bCs w:val="0"/>
          <w:spacing w:val="-15"/>
          <w:sz w:val="32"/>
          <w:szCs w:val="32"/>
          <w:lang w:eastAsia="zh-CN"/>
        </w:rPr>
        <w:t>川</w:t>
      </w:r>
      <w:r>
        <w:rPr>
          <w:rFonts w:hint="eastAsia" w:ascii="宋体" w:hAnsi="宋体" w:eastAsia="宋体" w:cs="宋体"/>
          <w:b w:val="0"/>
          <w:bCs w:val="0"/>
          <w:spacing w:val="-15"/>
          <w:sz w:val="32"/>
          <w:szCs w:val="32"/>
          <w:lang w:val="en-US" w:eastAsia="zh-CN"/>
        </w:rPr>
        <w:t xml:space="preserve"> </w:t>
      </w:r>
      <w:r>
        <w:rPr>
          <w:rFonts w:hint="eastAsia" w:ascii="宋体" w:hAnsi="宋体" w:eastAsia="宋体" w:cs="宋体"/>
          <w:b w:val="0"/>
          <w:bCs w:val="0"/>
          <w:spacing w:val="-15"/>
          <w:sz w:val="32"/>
          <w:szCs w:val="32"/>
          <w:lang w:eastAsia="zh-CN"/>
        </w:rPr>
        <w:t>省</w:t>
      </w:r>
      <w:r>
        <w:rPr>
          <w:rFonts w:hint="eastAsia" w:ascii="宋体" w:hAnsi="宋体" w:eastAsia="宋体" w:cs="宋体"/>
          <w:b w:val="0"/>
          <w:bCs w:val="0"/>
          <w:spacing w:val="-15"/>
          <w:sz w:val="32"/>
          <w:szCs w:val="32"/>
          <w:lang w:val="en-US" w:eastAsia="zh-CN"/>
        </w:rPr>
        <w:t xml:space="preserve"> </w:t>
      </w:r>
      <w:r>
        <w:rPr>
          <w:rFonts w:hint="eastAsia" w:ascii="宋体" w:hAnsi="宋体" w:eastAsia="宋体" w:cs="宋体"/>
          <w:b w:val="0"/>
          <w:bCs w:val="0"/>
          <w:spacing w:val="-15"/>
          <w:sz w:val="32"/>
          <w:szCs w:val="32"/>
          <w:lang w:eastAsia="zh-CN"/>
        </w:rPr>
        <w:t>医</w:t>
      </w:r>
      <w:r>
        <w:rPr>
          <w:rFonts w:hint="eastAsia" w:ascii="宋体" w:hAnsi="宋体" w:eastAsia="宋体" w:cs="宋体"/>
          <w:b w:val="0"/>
          <w:bCs w:val="0"/>
          <w:spacing w:val="-15"/>
          <w:sz w:val="32"/>
          <w:szCs w:val="32"/>
          <w:lang w:val="en-US" w:eastAsia="zh-CN"/>
        </w:rPr>
        <w:t xml:space="preserve"> </w:t>
      </w:r>
      <w:r>
        <w:rPr>
          <w:rFonts w:hint="eastAsia" w:ascii="宋体" w:hAnsi="宋体" w:eastAsia="宋体" w:cs="宋体"/>
          <w:b w:val="0"/>
          <w:bCs w:val="0"/>
          <w:spacing w:val="-15"/>
          <w:sz w:val="32"/>
          <w:szCs w:val="32"/>
          <w:lang w:eastAsia="zh-CN"/>
        </w:rPr>
        <w:t>药</w:t>
      </w:r>
      <w:r>
        <w:rPr>
          <w:rFonts w:hint="eastAsia" w:ascii="宋体" w:hAnsi="宋体" w:eastAsia="宋体" w:cs="宋体"/>
          <w:b w:val="0"/>
          <w:bCs w:val="0"/>
          <w:spacing w:val="-15"/>
          <w:sz w:val="32"/>
          <w:szCs w:val="32"/>
          <w:lang w:val="en-US" w:eastAsia="zh-CN"/>
        </w:rPr>
        <w:t xml:space="preserve"> </w:t>
      </w:r>
      <w:r>
        <w:rPr>
          <w:rFonts w:hint="eastAsia" w:ascii="宋体" w:hAnsi="宋体" w:eastAsia="宋体" w:cs="宋体"/>
          <w:b w:val="0"/>
          <w:bCs w:val="0"/>
          <w:spacing w:val="-15"/>
          <w:sz w:val="32"/>
          <w:szCs w:val="32"/>
          <w:lang w:eastAsia="zh-CN"/>
        </w:rPr>
        <w:t>行</w:t>
      </w:r>
      <w:r>
        <w:rPr>
          <w:rFonts w:hint="eastAsia" w:ascii="宋体" w:hAnsi="宋体" w:eastAsia="宋体" w:cs="宋体"/>
          <w:b w:val="0"/>
          <w:bCs w:val="0"/>
          <w:spacing w:val="-15"/>
          <w:sz w:val="32"/>
          <w:szCs w:val="32"/>
          <w:lang w:val="en-US" w:eastAsia="zh-CN"/>
        </w:rPr>
        <w:t xml:space="preserve"> </w:t>
      </w:r>
      <w:r>
        <w:rPr>
          <w:rFonts w:hint="eastAsia" w:ascii="宋体" w:hAnsi="宋体" w:eastAsia="宋体" w:cs="宋体"/>
          <w:b w:val="0"/>
          <w:bCs w:val="0"/>
          <w:spacing w:val="-15"/>
          <w:sz w:val="32"/>
          <w:szCs w:val="32"/>
          <w:lang w:eastAsia="zh-CN"/>
        </w:rPr>
        <w:t>业</w:t>
      </w:r>
      <w:r>
        <w:rPr>
          <w:rFonts w:hint="eastAsia" w:ascii="宋体" w:hAnsi="宋体" w:eastAsia="宋体" w:cs="宋体"/>
          <w:b w:val="0"/>
          <w:bCs w:val="0"/>
          <w:spacing w:val="-15"/>
          <w:sz w:val="32"/>
          <w:szCs w:val="32"/>
          <w:lang w:val="en-US" w:eastAsia="zh-CN"/>
        </w:rPr>
        <w:t xml:space="preserve"> </w:t>
      </w:r>
      <w:r>
        <w:rPr>
          <w:rFonts w:hint="eastAsia" w:ascii="宋体" w:hAnsi="宋体" w:eastAsia="宋体" w:cs="宋体"/>
          <w:b w:val="0"/>
          <w:bCs w:val="0"/>
          <w:spacing w:val="-15"/>
          <w:sz w:val="32"/>
          <w:szCs w:val="32"/>
          <w:lang w:eastAsia="zh-CN"/>
        </w:rPr>
        <w:t>协</w:t>
      </w:r>
      <w:r>
        <w:rPr>
          <w:rFonts w:hint="eastAsia" w:ascii="宋体" w:hAnsi="宋体" w:eastAsia="宋体" w:cs="宋体"/>
          <w:b w:val="0"/>
          <w:bCs w:val="0"/>
          <w:spacing w:val="-15"/>
          <w:sz w:val="32"/>
          <w:szCs w:val="32"/>
          <w:lang w:val="en-US" w:eastAsia="zh-CN"/>
        </w:rPr>
        <w:t xml:space="preserve"> </w:t>
      </w:r>
      <w:r>
        <w:rPr>
          <w:rFonts w:hint="eastAsia" w:ascii="宋体" w:hAnsi="宋体" w:eastAsia="宋体" w:cs="宋体"/>
          <w:b w:val="0"/>
          <w:bCs w:val="0"/>
          <w:spacing w:val="-15"/>
          <w:sz w:val="32"/>
          <w:szCs w:val="32"/>
          <w:lang w:eastAsia="zh-CN"/>
        </w:rPr>
        <w:t>会</w:t>
      </w:r>
      <w:r>
        <w:rPr>
          <w:rFonts w:hint="eastAsia" w:ascii="宋体" w:hAnsi="宋体" w:eastAsia="宋体" w:cs="宋体"/>
          <w:b w:val="0"/>
          <w:bCs w:val="0"/>
          <w:spacing w:val="-15"/>
          <w:sz w:val="32"/>
          <w:szCs w:val="32"/>
          <w:lang w:val="en-US" w:eastAsia="zh-CN"/>
        </w:rPr>
        <w:t xml:space="preserve">                     重 庆 医 药 行 业 协 会</w:t>
      </w:r>
    </w:p>
    <w:p>
      <w:pPr>
        <w:spacing w:before="137" w:line="219" w:lineRule="auto"/>
        <w:outlineLvl w:val="9"/>
        <w:rPr>
          <w:rFonts w:ascii="Times New Roman" w:hAnsi="Times New Roman" w:eastAsia="宋体" w:cs="宋体"/>
          <w:sz w:val="28"/>
          <w:szCs w:val="28"/>
        </w:rPr>
      </w:pPr>
    </w:p>
    <w:p>
      <w:pPr>
        <w:spacing w:before="1" w:line="60" w:lineRule="exact"/>
        <w:outlineLvl w:val="9"/>
        <w:rPr>
          <w:rFonts w:ascii="Times New Roman" w:hAnsi="Times New Roman"/>
        </w:rPr>
        <w:sectPr>
          <w:footerReference r:id="rId3" w:type="default"/>
          <w:pgSz w:w="11900" w:h="16820"/>
          <w:pgMar w:top="1429" w:right="824" w:bottom="872" w:left="1393" w:header="0" w:footer="712" w:gutter="0"/>
          <w:pgNumType w:fmt="decimal"/>
          <w:cols w:space="720" w:num="1"/>
        </w:sectPr>
      </w:pPr>
    </w:p>
    <w:sdt>
      <w:sdtPr>
        <w:rPr>
          <w:rFonts w:ascii="宋体" w:hAnsi="宋体" w:eastAsia="宋体" w:cstheme="minorBidi"/>
          <w:kern w:val="2"/>
          <w:sz w:val="21"/>
          <w:szCs w:val="24"/>
          <w:lang w:val="en-US" w:eastAsia="zh-CN" w:bidi="ar-SA"/>
        </w:rPr>
        <w:id w:val="147465619"/>
        <w15:color w:val="DBDBDB"/>
        <w:docPartObj>
          <w:docPartGallery w:val="Table of Contents"/>
          <w:docPartUnique/>
        </w:docPartObj>
      </w:sdtPr>
      <w:sdtEndPr>
        <w:rPr>
          <w:rFonts w:ascii="Times New Roman" w:hAnsi="Times New Roman" w:eastAsia="宋体" w:cs="宋体"/>
          <w:b/>
          <w:bCs/>
          <w:spacing w:val="-5"/>
          <w:kern w:val="2"/>
          <w:sz w:val="21"/>
          <w:szCs w:val="36"/>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黑体" w:hAnsi="黑体" w:eastAsia="黑体" w:cs="黑体"/>
              <w:sz w:val="32"/>
              <w:szCs w:val="32"/>
              <w:highlight w:val="none"/>
            </w:rPr>
            <w:t>目</w:t>
          </w:r>
          <w:r>
            <w:rPr>
              <w:rFonts w:hint="eastAsia" w:ascii="黑体" w:hAnsi="黑体" w:eastAsia="黑体" w:cs="黑体"/>
              <w:sz w:val="32"/>
              <w:szCs w:val="32"/>
              <w:highlight w:val="none"/>
              <w:lang w:eastAsia="zh-CN"/>
            </w:rPr>
            <w:t>次</w:t>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ascii="Times New Roman" w:hAnsi="Times New Roman" w:eastAsia="宋体" w:cs="宋体"/>
              <w:b/>
              <w:bCs/>
              <w:spacing w:val="-5"/>
              <w:sz w:val="36"/>
              <w:szCs w:val="36"/>
            </w:rPr>
            <w:fldChar w:fldCharType="begin"/>
          </w:r>
          <w:r>
            <w:rPr>
              <w:rFonts w:ascii="Times New Roman" w:hAnsi="Times New Roman" w:eastAsia="宋体" w:cs="宋体"/>
              <w:b/>
              <w:bCs/>
              <w:spacing w:val="-5"/>
              <w:sz w:val="36"/>
              <w:szCs w:val="36"/>
            </w:rPr>
            <w:instrText xml:space="preserve">TOC \o "1-2" \h \u </w:instrText>
          </w:r>
          <w:r>
            <w:rPr>
              <w:rFonts w:ascii="Times New Roman" w:hAnsi="Times New Roman" w:eastAsia="宋体" w:cs="宋体"/>
              <w:b/>
              <w:bCs/>
              <w:spacing w:val="-5"/>
              <w:sz w:val="36"/>
              <w:szCs w:val="36"/>
            </w:rPr>
            <w:fldChar w:fldCharType="separate"/>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_Toc2298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前言</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_Toc2298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_Toc11762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1  范围</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_Toc11762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_Toc20900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2  规范性引用文件</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_Toc20900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_Toc31917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3  术语和定义</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_Toc31917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_Toc3941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4  基本原则</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_Toc3941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_Toc22842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4.1 科学性</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_Toc22842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_Toc32111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4.2 公正性</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_Toc32111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_Toc13472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4.3 客观性</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_Toc13472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_Toc26830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4.4 审慎性</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_Toc26830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_Toc12146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4.5 安全性</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_Toc12146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_Toc8369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4.6 综合性</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_Toc8369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_Toc29024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5  评价指标和方法</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_Toc29024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_Toc30272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5.1 评价指标</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_Toc30272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_Toc5701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5.2 评价方法</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_Toc5701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_Toc12277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6  评价流程</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_Toc12277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_Toc9369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6.1 申请受理</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_Toc9369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_Toc13509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6.2 信用初评</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_Toc13509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_Toc24683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6.3 等级复核</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_Toc24683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_Toc5542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6.4 等级审定</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_Toc5542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_Toc10077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6.5 结果披露</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_Toc10077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_Toc4148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7  信用等级及表示方法</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_Toc4148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_Toc9515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7.1 信用等级</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_Toc9515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_Toc15232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7.2 等级调整</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_Toc15232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5</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_Toc28104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8  评价结果</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_Toc28104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_Toc22603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8.1 评价报告</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_Toc22603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_Toc12574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8.2 结果公开</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_Toc12574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_Toc18500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8.3 结果应用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_Toc18500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_Toc7652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附录A</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_Toc3069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（规范性）</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_Toc29749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医药企业信用评价指标</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_Toc29749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7</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_Toc26032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附录B</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_Toc3530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（规范性）</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_Toc28429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医药企业信用评价报告</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_Toc28429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12</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pStyle w:val="5"/>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_Toc4349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参考文献</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_Toc4349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pPr>
            <w:spacing w:before="101" w:line="226" w:lineRule="auto"/>
            <w:ind w:left="3543"/>
            <w:outlineLvl w:val="9"/>
            <w:rPr>
              <w:rFonts w:ascii="Times New Roman" w:hAnsi="Times New Roman" w:eastAsia="宋体" w:cs="宋体"/>
              <w:b/>
              <w:bCs/>
              <w:spacing w:val="-5"/>
              <w:sz w:val="36"/>
              <w:szCs w:val="36"/>
            </w:rPr>
          </w:pPr>
          <w:r>
            <w:rPr>
              <w:rFonts w:ascii="Times New Roman" w:hAnsi="Times New Roman" w:eastAsia="宋体" w:cs="宋体"/>
              <w:bCs/>
              <w:spacing w:val="-5"/>
              <w:szCs w:val="36"/>
            </w:rPr>
            <w:fldChar w:fldCharType="end"/>
          </w:r>
        </w:p>
      </w:sdtContent>
    </w:sdt>
    <w:p>
      <w:pPr>
        <w:spacing w:before="101" w:line="226" w:lineRule="auto"/>
        <w:ind w:left="3543"/>
        <w:outlineLvl w:val="9"/>
        <w:rPr>
          <w:rFonts w:ascii="Times New Roman" w:hAnsi="Times New Roman" w:eastAsia="宋体" w:cs="宋体"/>
          <w:b/>
          <w:bCs/>
          <w:spacing w:val="-5"/>
          <w:sz w:val="36"/>
          <w:szCs w:val="36"/>
        </w:rPr>
      </w:pPr>
    </w:p>
    <w:p>
      <w:pPr>
        <w:spacing w:before="101" w:line="226" w:lineRule="auto"/>
        <w:ind w:left="3543"/>
        <w:outlineLvl w:val="9"/>
        <w:rPr>
          <w:rFonts w:ascii="Times New Roman" w:hAnsi="Times New Roman" w:eastAsia="宋体" w:cs="宋体"/>
          <w:b/>
          <w:bCs/>
          <w:spacing w:val="-5"/>
          <w:sz w:val="36"/>
          <w:szCs w:val="36"/>
        </w:rPr>
      </w:pPr>
    </w:p>
    <w:p>
      <w:pPr>
        <w:spacing w:before="101" w:line="226" w:lineRule="auto"/>
        <w:ind w:left="3543"/>
        <w:outlineLvl w:val="9"/>
        <w:rPr>
          <w:rFonts w:ascii="Times New Roman" w:hAnsi="Times New Roman" w:eastAsia="宋体" w:cs="宋体"/>
          <w:b/>
          <w:bCs/>
          <w:spacing w:val="-5"/>
          <w:sz w:val="36"/>
          <w:szCs w:val="36"/>
        </w:rPr>
      </w:pPr>
    </w:p>
    <w:p>
      <w:pPr>
        <w:spacing w:before="101" w:line="226" w:lineRule="auto"/>
        <w:ind w:left="3543"/>
        <w:outlineLvl w:val="9"/>
        <w:rPr>
          <w:rFonts w:ascii="Times New Roman" w:hAnsi="Times New Roman" w:eastAsia="宋体" w:cs="宋体"/>
          <w:b/>
          <w:bCs/>
          <w:spacing w:val="-5"/>
          <w:sz w:val="36"/>
          <w:szCs w:val="36"/>
        </w:rPr>
      </w:pPr>
    </w:p>
    <w:p>
      <w:pPr>
        <w:spacing w:before="101" w:line="226" w:lineRule="auto"/>
        <w:ind w:left="3543"/>
        <w:outlineLvl w:val="9"/>
        <w:rPr>
          <w:rFonts w:ascii="Times New Roman" w:hAnsi="Times New Roman" w:eastAsia="宋体" w:cs="宋体"/>
          <w:b/>
          <w:bCs/>
          <w:spacing w:val="-5"/>
          <w:sz w:val="36"/>
          <w:szCs w:val="36"/>
        </w:rPr>
      </w:pPr>
    </w:p>
    <w:p>
      <w:pPr>
        <w:spacing w:before="101" w:line="226" w:lineRule="auto"/>
        <w:ind w:left="3543"/>
        <w:outlineLvl w:val="9"/>
        <w:rPr>
          <w:rFonts w:ascii="Times New Roman" w:hAnsi="Times New Roman" w:eastAsia="宋体" w:cs="宋体"/>
          <w:b/>
          <w:bCs/>
          <w:spacing w:val="-5"/>
          <w:sz w:val="36"/>
          <w:szCs w:val="36"/>
        </w:rPr>
      </w:pPr>
    </w:p>
    <w:p>
      <w:pPr>
        <w:spacing w:before="101" w:line="226" w:lineRule="auto"/>
        <w:outlineLvl w:val="9"/>
        <w:rPr>
          <w:rFonts w:ascii="Times New Roman" w:hAnsi="Times New Roman" w:eastAsia="宋体" w:cs="宋体"/>
          <w:b/>
          <w:bCs/>
          <w:spacing w:val="-5"/>
          <w:sz w:val="36"/>
          <w:szCs w:val="36"/>
        </w:rPr>
        <w:sectPr>
          <w:footerReference r:id="rId4" w:type="default"/>
          <w:pgSz w:w="11906" w:h="16838"/>
          <w:pgMar w:top="1800" w:right="1440" w:bottom="1800" w:left="1440" w:header="851" w:footer="992" w:gutter="0"/>
          <w:pgNumType w:fmt="decimal" w:start="1"/>
          <w:cols w:space="425" w:num="1"/>
          <w:docGrid w:type="lines" w:linePitch="312" w:charSpace="0"/>
        </w:sectPr>
      </w:pPr>
    </w:p>
    <w:p>
      <w:pPr>
        <w:spacing w:before="101" w:line="226" w:lineRule="auto"/>
        <w:jc w:val="center"/>
        <w:outlineLvl w:val="0"/>
        <w:rPr>
          <w:rFonts w:ascii="Times New Roman" w:hAnsi="Times New Roman" w:eastAsia="宋体" w:cs="宋体"/>
          <w:b/>
          <w:bCs/>
          <w:sz w:val="36"/>
          <w:szCs w:val="36"/>
        </w:rPr>
      </w:pPr>
      <w:bookmarkStart w:id="0" w:name="_Toc2298"/>
      <w:r>
        <w:rPr>
          <w:rFonts w:hint="eastAsia" w:ascii="Times New Roman" w:hAnsi="Times New Roman" w:eastAsia="黑体" w:cs="黑体"/>
          <w:kern w:val="2"/>
          <w:sz w:val="32"/>
          <w:szCs w:val="32"/>
          <w:highlight w:val="none"/>
          <w:lang w:val="en-US" w:eastAsia="zh-CN" w:bidi="ar-SA"/>
        </w:rPr>
        <w:t>前言</w:t>
      </w:r>
      <w:bookmarkEnd w:id="0"/>
    </w:p>
    <w:p>
      <w:pPr>
        <w:spacing w:before="19" w:line="257" w:lineRule="auto"/>
        <w:ind w:left="26" w:right="120" w:firstLine="419"/>
        <w:rPr>
          <w:rFonts w:hint="eastAsia" w:ascii="Times New Roman" w:hAnsi="Times New Roman" w:eastAsia="仿宋" w:cs="仿宋"/>
          <w:sz w:val="32"/>
          <w:szCs w:val="32"/>
        </w:rPr>
      </w:pP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cs="Times New Roman" w:eastAsiaTheme="minorEastAsia"/>
          <w:sz w:val="21"/>
          <w:highlight w:val="none"/>
          <w:lang w:val="en-US" w:eastAsia="zh-CN"/>
        </w:rPr>
      </w:pPr>
      <w:r>
        <w:rPr>
          <w:rFonts w:hint="eastAsia" w:ascii="Times New Roman" w:hAnsi="Times New Roman" w:cs="Times New Roman" w:eastAsiaTheme="minorEastAsia"/>
          <w:sz w:val="21"/>
          <w:highlight w:val="none"/>
          <w:lang w:val="en-US" w:eastAsia="zh-CN"/>
        </w:rPr>
        <w:t>本文件按照</w:t>
      </w:r>
      <w:r>
        <w:rPr>
          <w:rFonts w:hint="eastAsia" w:cs="Times New Roman" w:asciiTheme="minorEastAsia" w:hAnsiTheme="minorEastAsia" w:eastAsiaTheme="minorEastAsia"/>
          <w:sz w:val="21"/>
          <w:highlight w:val="none"/>
          <w:lang w:val="en-US" w:eastAsia="zh-CN"/>
        </w:rPr>
        <w:t>GB/T 1.1-2020</w:t>
      </w:r>
      <w:r>
        <w:rPr>
          <w:rFonts w:hint="eastAsia" w:ascii="Times New Roman" w:hAnsi="Times New Roman" w:cs="Times New Roman" w:eastAsiaTheme="minorEastAsia"/>
          <w:sz w:val="21"/>
          <w:highlight w:val="none"/>
          <w:lang w:val="en-US" w:eastAsia="zh-CN"/>
        </w:rPr>
        <w:t>《标准化工作导则—第</w:t>
      </w:r>
      <w:r>
        <w:rPr>
          <w:rFonts w:hint="eastAsia" w:cs="Times New Roman" w:asciiTheme="minorEastAsia" w:hAnsiTheme="minorEastAsia" w:eastAsiaTheme="minorEastAsia"/>
          <w:sz w:val="21"/>
          <w:highlight w:val="none"/>
          <w:lang w:val="en-US" w:eastAsia="zh-CN"/>
        </w:rPr>
        <w:t>1</w:t>
      </w:r>
      <w:r>
        <w:rPr>
          <w:rFonts w:hint="eastAsia" w:ascii="Times New Roman" w:hAnsi="Times New Roman" w:cs="Times New Roman" w:eastAsiaTheme="minorEastAsia"/>
          <w:sz w:val="21"/>
          <w:highlight w:val="none"/>
          <w:lang w:val="en-US" w:eastAsia="zh-CN"/>
        </w:rPr>
        <w:t>部分：标准化文件的结构和起草规则》的规定起草。</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cs="Times New Roman" w:eastAsiaTheme="minorEastAsia"/>
          <w:sz w:val="21"/>
          <w:highlight w:val="none"/>
          <w:lang w:val="en-US" w:eastAsia="zh-CN"/>
        </w:rPr>
      </w:pPr>
      <w:r>
        <w:rPr>
          <w:rFonts w:hint="eastAsia" w:ascii="Times New Roman" w:hAnsi="Times New Roman" w:cs="Times New Roman" w:eastAsiaTheme="minorEastAsia"/>
          <w:sz w:val="21"/>
          <w:highlight w:val="none"/>
          <w:lang w:val="en-US" w:eastAsia="zh-CN"/>
        </w:rPr>
        <w:t>本文件由</w:t>
      </w:r>
      <w:r>
        <w:rPr>
          <w:rFonts w:hint="eastAsia" w:ascii="Times New Roman" w:hAnsi="Times New Roman" w:cs="Times New Roman"/>
          <w:sz w:val="21"/>
          <w:highlight w:val="none"/>
          <w:lang w:val="en-US" w:eastAsia="zh-CN"/>
        </w:rPr>
        <w:t>四川省医药行业协会、重庆医药行业协会</w:t>
      </w:r>
      <w:r>
        <w:rPr>
          <w:rFonts w:hint="eastAsia" w:ascii="Times New Roman" w:hAnsi="Times New Roman" w:cs="Times New Roman" w:eastAsiaTheme="minorEastAsia"/>
          <w:sz w:val="21"/>
          <w:highlight w:val="none"/>
          <w:lang w:val="en-US" w:eastAsia="zh-CN"/>
        </w:rPr>
        <w:t>提出、归口并解释。</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cs="Times New Roman" w:eastAsiaTheme="minorEastAsia"/>
          <w:sz w:val="21"/>
          <w:highlight w:val="none"/>
          <w:lang w:val="en-US" w:eastAsia="zh-CN"/>
        </w:rPr>
      </w:pPr>
      <w:r>
        <w:rPr>
          <w:rFonts w:hint="eastAsia" w:ascii="Times New Roman" w:hAnsi="Times New Roman" w:cs="Times New Roman" w:eastAsiaTheme="minorEastAsia"/>
          <w:sz w:val="21"/>
          <w:highlight w:val="none"/>
          <w:lang w:val="en-US" w:eastAsia="zh-CN"/>
        </w:rPr>
        <w:t>本文件由</w:t>
      </w:r>
      <w:r>
        <w:rPr>
          <w:rFonts w:hint="eastAsia" w:ascii="Times New Roman" w:hAnsi="Times New Roman" w:cs="Times New Roman"/>
          <w:sz w:val="21"/>
          <w:highlight w:val="none"/>
          <w:lang w:val="en-US" w:eastAsia="zh-CN"/>
        </w:rPr>
        <w:t>四川省医药行业协会、重庆医药行业协会</w:t>
      </w:r>
      <w:r>
        <w:rPr>
          <w:rFonts w:hint="eastAsia" w:ascii="Times New Roman" w:hAnsi="Times New Roman" w:cs="Times New Roman" w:eastAsiaTheme="minorEastAsia"/>
          <w:sz w:val="21"/>
          <w:highlight w:val="none"/>
          <w:lang w:val="en-US" w:eastAsia="zh-CN"/>
        </w:rPr>
        <w:t>组织实施。本文件充分借鉴和吸收医药行业企业信用管理和四川省医药领域企业信用评价的成功经验，结合行业实际编制而成。</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cs="Times New Roman" w:eastAsiaTheme="minorEastAsia"/>
          <w:color w:val="auto"/>
          <w:sz w:val="21"/>
          <w:highlight w:val="none"/>
          <w:lang w:val="en-US" w:eastAsia="zh-CN"/>
        </w:rPr>
      </w:pPr>
      <w:r>
        <w:rPr>
          <w:rFonts w:hint="eastAsia" w:ascii="Times New Roman" w:hAnsi="Times New Roman" w:cs="Times New Roman" w:eastAsiaTheme="minorEastAsia"/>
          <w:sz w:val="21"/>
          <w:highlight w:val="none"/>
          <w:lang w:val="en-US" w:eastAsia="zh-CN"/>
        </w:rPr>
        <w:t>本文件起草单位</w:t>
      </w:r>
      <w:r>
        <w:rPr>
          <w:rFonts w:hint="eastAsia" w:ascii="Times New Roman" w:hAnsi="Times New Roman" w:cs="Times New Roman" w:eastAsiaTheme="minorEastAsia"/>
          <w:color w:val="auto"/>
          <w:sz w:val="21"/>
          <w:highlight w:val="none"/>
          <w:lang w:val="en-US" w:eastAsia="zh-CN"/>
        </w:rPr>
        <w:t>：四川省医药行业协会、重庆医药行业协会</w:t>
      </w:r>
      <w:r>
        <w:rPr>
          <w:rFonts w:hint="eastAsia" w:ascii="Times New Roman" w:hAnsi="Times New Roman" w:cs="Times New Roman"/>
          <w:color w:val="auto"/>
          <w:sz w:val="21"/>
          <w:highlight w:val="none"/>
          <w:lang w:val="en-US" w:eastAsia="zh-CN"/>
        </w:rPr>
        <w:t>、</w:t>
      </w:r>
      <w:r>
        <w:rPr>
          <w:rFonts w:hint="eastAsia" w:ascii="Times New Roman" w:hAnsi="Times New Roman" w:cs="Times New Roman" w:eastAsiaTheme="minorEastAsia"/>
          <w:color w:val="auto"/>
          <w:sz w:val="21"/>
          <w:highlight w:val="none"/>
          <w:lang w:val="en-US" w:eastAsia="zh-CN"/>
        </w:rPr>
        <w:t>四川大证信用评级有限公司</w:t>
      </w:r>
      <w:r>
        <w:rPr>
          <w:rFonts w:hint="eastAsia" w:ascii="Times New Roman" w:hAnsi="Times New Roman" w:cs="Times New Roman"/>
          <w:color w:val="auto"/>
          <w:sz w:val="21"/>
          <w:highlight w:val="none"/>
          <w:lang w:val="en-US" w:eastAsia="zh-CN"/>
        </w:rPr>
        <w:t>、成都通德药业有限公司、成都法和药业集团有限公司、四川博利恒药业有限公司、四川奥邦古德药业有限公司、上海中联（成都）律师事务所、上海申浩（成都）律师事务所、成都易速物流有限公司</w:t>
      </w:r>
      <w:r>
        <w:rPr>
          <w:rFonts w:hint="eastAsia" w:ascii="Times New Roman" w:hAnsi="Times New Roman" w:cs="Times New Roman" w:eastAsiaTheme="minorEastAsia"/>
          <w:color w:val="auto"/>
          <w:sz w:val="21"/>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cs="Times New Roman" w:eastAsiaTheme="minorEastAsia"/>
          <w:b w:val="0"/>
          <w:bCs w:val="0"/>
          <w:color w:val="auto"/>
          <w:sz w:val="21"/>
          <w:highlight w:val="none"/>
          <w:lang w:val="en-US" w:eastAsia="zh-CN"/>
        </w:rPr>
      </w:pPr>
      <w:r>
        <w:rPr>
          <w:rFonts w:hint="eastAsia" w:ascii="Times New Roman" w:hAnsi="Times New Roman" w:cs="Times New Roman" w:eastAsiaTheme="minorEastAsia"/>
          <w:color w:val="auto"/>
          <w:sz w:val="21"/>
          <w:highlight w:val="none"/>
          <w:lang w:val="en-US" w:eastAsia="zh-CN"/>
        </w:rPr>
        <w:t>本文件主要起草人员：</w:t>
      </w:r>
      <w:r>
        <w:rPr>
          <w:rFonts w:hint="eastAsia" w:ascii="Times New Roman" w:hAnsi="Times New Roman" w:cs="Times New Roman" w:eastAsiaTheme="minorEastAsia"/>
          <w:b w:val="0"/>
          <w:bCs w:val="0"/>
          <w:color w:val="auto"/>
          <w:sz w:val="21"/>
          <w:highlight w:val="none"/>
          <w:lang w:val="en-US" w:eastAsia="zh-CN"/>
        </w:rPr>
        <w:t>张忠辉、董浜贤、</w:t>
      </w:r>
      <w:r>
        <w:rPr>
          <w:rFonts w:hint="eastAsia" w:ascii="Times New Roman" w:hAnsi="Times New Roman" w:cs="Times New Roman"/>
          <w:b w:val="0"/>
          <w:bCs w:val="0"/>
          <w:color w:val="auto"/>
          <w:sz w:val="21"/>
          <w:highlight w:val="none"/>
          <w:lang w:val="en-US" w:eastAsia="zh-CN"/>
        </w:rPr>
        <w:t>余军、余绍全、冯燕丽、姜建军、王国华、朱和平、袁铭泽、邱胜、周睿祺、</w:t>
      </w:r>
      <w:r>
        <w:rPr>
          <w:rFonts w:hint="eastAsia" w:ascii="Times New Roman" w:hAnsi="Times New Roman" w:cs="Times New Roman" w:eastAsiaTheme="minorEastAsia"/>
          <w:b w:val="0"/>
          <w:bCs w:val="0"/>
          <w:color w:val="auto"/>
          <w:sz w:val="21"/>
          <w:highlight w:val="none"/>
          <w:lang w:val="en-US" w:eastAsia="zh-CN"/>
        </w:rPr>
        <w:t>彭大勇、陈莉、唐亮、陈冬、何美军、李涛</w:t>
      </w:r>
      <w:r>
        <w:rPr>
          <w:rFonts w:hint="eastAsia" w:ascii="Times New Roman" w:hAnsi="Times New Roman" w:cs="Times New Roman"/>
          <w:b w:val="0"/>
          <w:bCs w:val="0"/>
          <w:color w:val="auto"/>
          <w:sz w:val="21"/>
          <w:highlight w:val="none"/>
          <w:lang w:val="en-US" w:eastAsia="zh-CN"/>
        </w:rPr>
        <w:t>、史凌洋、李晓琳、</w:t>
      </w:r>
      <w:r>
        <w:rPr>
          <w:rFonts w:hint="eastAsia" w:ascii="Times New Roman" w:hAnsi="Times New Roman" w:cs="Times New Roman" w:eastAsiaTheme="minorEastAsia"/>
          <w:b w:val="0"/>
          <w:bCs w:val="0"/>
          <w:color w:val="auto"/>
          <w:sz w:val="21"/>
          <w:highlight w:val="none"/>
          <w:lang w:val="en-US" w:eastAsia="zh-CN"/>
        </w:rPr>
        <w:t>梁慧、敬浩然</w:t>
      </w:r>
      <w:r>
        <w:rPr>
          <w:rFonts w:hint="eastAsia" w:ascii="Times New Roman" w:hAnsi="Times New Roman" w:cs="Times New Roman"/>
          <w:b w:val="0"/>
          <w:bCs w:val="0"/>
          <w:color w:val="auto"/>
          <w:sz w:val="21"/>
          <w:highlight w:val="none"/>
          <w:lang w:val="en-US" w:eastAsia="zh-CN"/>
        </w:rPr>
        <w:t>、齐冶、任华东、刘波、苟小军、赵洪涛、周彩霞、 吴波、罗子湄、曾小兰 、毛琼辉。</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cs="Times New Roman" w:eastAsiaTheme="minorEastAsia"/>
          <w:sz w:val="21"/>
          <w:highlight w:val="none"/>
          <w:lang w:val="en-US" w:eastAsia="zh-CN"/>
        </w:rPr>
      </w:pPr>
    </w:p>
    <w:p>
      <w:pPr>
        <w:rPr>
          <w:rFonts w:hint="eastAsia" w:ascii="Times New Roman" w:hAnsi="Times New Roman" w:eastAsia="黑体" w:cs="黑体"/>
          <w:kern w:val="2"/>
          <w:sz w:val="32"/>
          <w:szCs w:val="32"/>
          <w:highlight w:val="none"/>
          <w:lang w:val="en-US" w:eastAsia="zh-CN" w:bidi="ar-SA"/>
        </w:rPr>
      </w:pPr>
      <w:r>
        <w:rPr>
          <w:rFonts w:hint="eastAsia" w:ascii="Times New Roman" w:hAnsi="Times New Roman" w:eastAsia="黑体" w:cs="黑体"/>
          <w:kern w:val="2"/>
          <w:sz w:val="32"/>
          <w:szCs w:val="32"/>
          <w:highlight w:val="none"/>
          <w:lang w:val="en-US" w:eastAsia="zh-CN" w:bidi="ar-SA"/>
        </w:rPr>
        <w:br w:type="page"/>
      </w:r>
    </w:p>
    <w:p>
      <w:pPr>
        <w:pStyle w:val="2"/>
        <w:spacing w:line="307" w:lineRule="auto"/>
        <w:jc w:val="center"/>
        <w:outlineLvl w:val="9"/>
        <w:rPr>
          <w:rFonts w:hint="eastAsia" w:ascii="Times New Roman" w:hAnsi="Times New Roman" w:eastAsiaTheme="minorEastAsia" w:cstheme="minorEastAsia"/>
          <w:b/>
          <w:bCs/>
          <w:sz w:val="20"/>
          <w:szCs w:val="22"/>
        </w:rPr>
      </w:pPr>
      <w:r>
        <w:rPr>
          <w:rFonts w:hint="eastAsia" w:ascii="Times New Roman" w:hAnsi="Times New Roman" w:eastAsia="黑体" w:cs="黑体"/>
          <w:kern w:val="2"/>
          <w:sz w:val="32"/>
          <w:szCs w:val="32"/>
          <w:highlight w:val="none"/>
          <w:lang w:val="en-US" w:eastAsia="zh-CN" w:bidi="ar-SA"/>
        </w:rPr>
        <w:t>川渝医药领域企业信用评价标准</w:t>
      </w:r>
    </w:p>
    <w:p>
      <w:pPr>
        <w:spacing w:before="68" w:line="221" w:lineRule="auto"/>
        <w:ind w:left="3864"/>
        <w:rPr>
          <w:rFonts w:hint="eastAsia" w:ascii="Times New Roman" w:hAnsi="Times New Roman" w:eastAsia="仿宋" w:cs="仿宋"/>
          <w:b/>
          <w:bCs/>
          <w:spacing w:val="-7"/>
          <w:sz w:val="28"/>
          <w:szCs w:val="28"/>
        </w:rPr>
      </w:pPr>
    </w:p>
    <w:p>
      <w:pPr>
        <w:pStyle w:val="2"/>
        <w:keepNext w:val="0"/>
        <w:keepLines w:val="0"/>
        <w:pageBreakBefore w:val="0"/>
        <w:widowControl w:val="0"/>
        <w:kinsoku/>
        <w:wordWrap/>
        <w:overflowPunct/>
        <w:topLinePunct w:val="0"/>
        <w:autoSpaceDE/>
        <w:autoSpaceDN/>
        <w:bidi w:val="0"/>
        <w:adjustRightInd/>
        <w:snapToGrid/>
        <w:spacing w:after="313" w:afterLines="100" w:line="360" w:lineRule="auto"/>
        <w:ind w:left="43" w:leftChars="18"/>
        <w:textAlignment w:val="auto"/>
        <w:outlineLvl w:val="0"/>
        <w:rPr>
          <w:rFonts w:hint="default" w:ascii="Times New Roman" w:hAnsi="Times New Roman" w:eastAsia="仿宋" w:cs="仿宋"/>
          <w:b/>
          <w:bCs/>
          <w:spacing w:val="-7"/>
          <w:kern w:val="2"/>
          <w:sz w:val="36"/>
          <w:szCs w:val="36"/>
          <w:lang w:val="en-US" w:eastAsia="zh-CN" w:bidi="ar-SA"/>
        </w:rPr>
      </w:pPr>
      <w:bookmarkStart w:id="1" w:name="_Toc11762"/>
      <w:bookmarkStart w:id="2" w:name="_Toc3775"/>
      <w:r>
        <w:rPr>
          <w:rFonts w:hint="eastAsia" w:ascii="黑体" w:hAnsi="黑体" w:eastAsia="黑体" w:cs="黑体"/>
          <w:kern w:val="2"/>
          <w:sz w:val="21"/>
          <w:szCs w:val="24"/>
          <w:highlight w:val="none"/>
          <w:lang w:val="en-US" w:eastAsia="zh-CN" w:bidi="ar-SA"/>
        </w:rPr>
        <w:t xml:space="preserve">1  </w:t>
      </w:r>
      <w:r>
        <w:rPr>
          <w:rFonts w:hint="eastAsia" w:ascii="Times New Roman" w:hAnsi="Times New Roman" w:eastAsia="黑体" w:cs="黑体"/>
          <w:kern w:val="2"/>
          <w:sz w:val="21"/>
          <w:szCs w:val="24"/>
          <w:highlight w:val="none"/>
          <w:lang w:val="en-US" w:eastAsia="zh-CN" w:bidi="ar-SA"/>
        </w:rPr>
        <w:t>范围</w:t>
      </w:r>
      <w:bookmarkEnd w:id="1"/>
      <w:bookmarkEnd w:id="2"/>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本文件规定了川渝医药领域企业信用评价的术语和定义、基本原则、评价指标和方法、评价流程、信用等级及表示方法、评价结果要求。</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本文件作为川渝医药领域企业综合信用评价的指导性文件。</w:t>
      </w:r>
    </w:p>
    <w:p>
      <w:pPr>
        <w:pStyle w:val="10"/>
        <w:keepNext w:val="0"/>
        <w:keepLines w:val="0"/>
        <w:pageBreakBefore w:val="0"/>
        <w:widowControl w:val="0"/>
        <w:kinsoku/>
        <w:wordWrap/>
        <w:overflowPunct/>
        <w:topLinePunct w:val="0"/>
        <w:autoSpaceDE/>
        <w:autoSpaceDN/>
        <w:bidi w:val="0"/>
        <w:adjustRightInd/>
        <w:snapToGrid/>
        <w:spacing w:after="313" w:afterLines="100"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本文件适用于四川省、重庆市行政区域内医药企业的信用等级评价及相关活动。</w:t>
      </w:r>
    </w:p>
    <w:p>
      <w:pPr>
        <w:pStyle w:val="2"/>
        <w:keepNext w:val="0"/>
        <w:keepLines w:val="0"/>
        <w:pageBreakBefore w:val="0"/>
        <w:widowControl w:val="0"/>
        <w:kinsoku/>
        <w:wordWrap/>
        <w:overflowPunct/>
        <w:topLinePunct w:val="0"/>
        <w:autoSpaceDE/>
        <w:autoSpaceDN/>
        <w:bidi w:val="0"/>
        <w:adjustRightInd/>
        <w:snapToGrid/>
        <w:spacing w:after="313" w:afterLines="100" w:line="360" w:lineRule="auto"/>
        <w:ind w:left="43" w:leftChars="18"/>
        <w:textAlignment w:val="auto"/>
        <w:outlineLvl w:val="0"/>
        <w:rPr>
          <w:rFonts w:hint="default" w:ascii="Times New Roman" w:hAnsi="Times New Roman" w:eastAsia="黑体" w:cs="黑体"/>
          <w:kern w:val="2"/>
          <w:sz w:val="21"/>
          <w:szCs w:val="24"/>
          <w:highlight w:val="none"/>
          <w:lang w:val="en-US" w:eastAsia="zh-CN" w:bidi="ar-SA"/>
        </w:rPr>
      </w:pPr>
      <w:bookmarkStart w:id="3" w:name="bookmark2"/>
      <w:bookmarkEnd w:id="3"/>
      <w:bookmarkStart w:id="4" w:name="_Toc16234"/>
      <w:bookmarkStart w:id="5" w:name="_Toc20900"/>
      <w:r>
        <w:rPr>
          <w:rFonts w:hint="eastAsia" w:ascii="黑体" w:hAnsi="黑体" w:eastAsia="黑体" w:cs="黑体"/>
          <w:kern w:val="2"/>
          <w:sz w:val="21"/>
          <w:szCs w:val="24"/>
          <w:highlight w:val="none"/>
          <w:lang w:val="en-US" w:eastAsia="zh-CN" w:bidi="ar-SA"/>
        </w:rPr>
        <w:t>2</w:t>
      </w:r>
      <w:r>
        <w:rPr>
          <w:rFonts w:hint="eastAsia" w:ascii="Times New Roman" w:hAnsi="Times New Roman" w:eastAsia="黑体" w:cs="黑体"/>
          <w:kern w:val="2"/>
          <w:sz w:val="21"/>
          <w:szCs w:val="24"/>
          <w:highlight w:val="none"/>
          <w:lang w:val="en-US" w:eastAsia="zh-CN" w:bidi="ar-SA"/>
        </w:rPr>
        <w:t xml:space="preserve">  规范性引用文件</w:t>
      </w:r>
      <w:bookmarkEnd w:id="4"/>
      <w:bookmarkEnd w:id="5"/>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GB/T 22116企业信用等级表示方法</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GB/T 22117信用 基本术语</w:t>
      </w:r>
    </w:p>
    <w:p>
      <w:pPr>
        <w:pStyle w:val="10"/>
        <w:keepNext w:val="0"/>
        <w:keepLines w:val="0"/>
        <w:pageBreakBefore w:val="0"/>
        <w:widowControl w:val="0"/>
        <w:kinsoku/>
        <w:wordWrap/>
        <w:overflowPunct/>
        <w:topLinePunct w:val="0"/>
        <w:autoSpaceDE/>
        <w:autoSpaceDN/>
        <w:bidi w:val="0"/>
        <w:adjustRightInd/>
        <w:snapToGrid/>
        <w:spacing w:after="313" w:afterLines="100" w:line="360" w:lineRule="auto"/>
        <w:ind w:left="108" w:firstLine="420" w:firstLineChars="200"/>
        <w:jc w:val="both"/>
        <w:textAlignment w:val="auto"/>
        <w:rPr>
          <w:rFonts w:hint="eastAsia" w:ascii="Times New Roman" w:hAnsi="Times New Roman"/>
          <w:highlight w:val="none"/>
          <w:lang w:val="en-US" w:eastAsia="zh-CN"/>
        </w:rPr>
      </w:pPr>
      <w:r>
        <w:rPr>
          <w:rFonts w:hint="eastAsia" w:asciiTheme="minorEastAsia" w:hAnsiTheme="minorEastAsia" w:eastAsiaTheme="minorEastAsia" w:cstheme="minorEastAsia"/>
          <w:highlight w:val="none"/>
          <w:lang w:val="en-US" w:eastAsia="zh-CN"/>
        </w:rPr>
        <w:t>GB/T 23794企业信用评价指标</w:t>
      </w:r>
    </w:p>
    <w:p>
      <w:pPr>
        <w:pStyle w:val="10"/>
        <w:keepNext w:val="0"/>
        <w:keepLines w:val="0"/>
        <w:pageBreakBefore w:val="0"/>
        <w:widowControl w:val="0"/>
        <w:kinsoku/>
        <w:wordWrap/>
        <w:overflowPunct/>
        <w:topLinePunct w:val="0"/>
        <w:autoSpaceDE/>
        <w:autoSpaceDN/>
        <w:bidi w:val="0"/>
        <w:adjustRightInd/>
        <w:snapToGrid/>
        <w:spacing w:after="320" w:afterLines="100" w:line="360" w:lineRule="auto"/>
        <w:ind w:left="108"/>
        <w:jc w:val="both"/>
        <w:textAlignment w:val="auto"/>
        <w:outlineLvl w:val="0"/>
        <w:rPr>
          <w:rFonts w:hint="eastAsia" w:ascii="Times New Roman" w:hAnsi="Times New Roman" w:eastAsia="黑体" w:cs="黑体"/>
          <w:highlight w:val="none"/>
          <w:lang w:val="en-US" w:eastAsia="zh-CN"/>
        </w:rPr>
      </w:pPr>
      <w:bookmarkStart w:id="6" w:name="_Toc31917"/>
      <w:bookmarkStart w:id="7" w:name="_Toc32407"/>
      <w:r>
        <w:rPr>
          <w:rFonts w:hint="eastAsia" w:ascii="黑体" w:hAnsi="黑体" w:eastAsia="黑体" w:cs="黑体"/>
          <w:kern w:val="2"/>
          <w:sz w:val="21"/>
          <w:szCs w:val="24"/>
          <w:highlight w:val="none"/>
          <w:lang w:val="en-US" w:eastAsia="zh-CN" w:bidi="ar-SA"/>
        </w:rPr>
        <w:t>3</w:t>
      </w:r>
      <w:r>
        <w:rPr>
          <w:rFonts w:hint="eastAsia" w:ascii="Times New Roman" w:hAnsi="Times New Roman" w:eastAsia="黑体" w:cs="黑体"/>
          <w:highlight w:val="none"/>
          <w:lang w:val="en-US" w:eastAsia="zh-CN"/>
        </w:rPr>
        <w:t xml:space="preserve">  术语和定义</w:t>
      </w:r>
      <w:bookmarkEnd w:id="6"/>
      <w:bookmarkEnd w:id="7"/>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outlineLvl w:val="9"/>
        <w:rPr>
          <w:rFonts w:hint="default" w:ascii="Times New Roman" w:hAnsi="Times New Roman" w:eastAsia="黑体" w:cs="黑体"/>
          <w:highlight w:val="none"/>
          <w:lang w:val="en-US" w:eastAsia="zh-CN"/>
        </w:rPr>
      </w:pPr>
      <w:r>
        <w:rPr>
          <w:rFonts w:hint="eastAsia" w:asciiTheme="minorEastAsia" w:hAnsiTheme="minorEastAsia" w:eastAsiaTheme="minorEastAsia" w:cstheme="minorEastAsia"/>
          <w:highlight w:val="none"/>
          <w:lang w:val="en-US" w:eastAsia="zh-CN"/>
        </w:rPr>
        <w:t>GB/T 22117、DB3207/T</w:t>
      </w:r>
      <w:r>
        <w:rPr>
          <w:rFonts w:hint="eastAsia" w:ascii="Times New Roman" w:hAnsi="Times New Roman"/>
          <w:highlight w:val="none"/>
          <w:lang w:val="en-US" w:eastAsia="zh-CN"/>
        </w:rPr>
        <w:t>界定的以及下列术语和定义适用于本文件。</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9"/>
        <w:rPr>
          <w:rFonts w:hint="eastAsia" w:ascii="Times New Roman" w:hAnsi="Times New Roman"/>
          <w:highlight w:val="none"/>
          <w:lang w:val="en-US" w:eastAsia="zh-CN"/>
        </w:rPr>
      </w:pPr>
      <w:bookmarkStart w:id="8" w:name="bookmark4"/>
      <w:bookmarkEnd w:id="8"/>
      <w:r>
        <w:rPr>
          <w:rFonts w:hint="eastAsia" w:ascii="黑体" w:hAnsi="黑体" w:eastAsia="黑体" w:cs="黑体"/>
          <w:kern w:val="2"/>
          <w:sz w:val="21"/>
          <w:szCs w:val="24"/>
          <w:highlight w:val="none"/>
          <w:lang w:val="en-US" w:eastAsia="zh-CN" w:bidi="ar-SA"/>
        </w:rPr>
        <w:t>3.1</w:t>
      </w:r>
      <w:r>
        <w:rPr>
          <w:rFonts w:hint="eastAsia" w:ascii="Times New Roman" w:hAnsi="Times New Roman"/>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2" w:firstLineChars="200"/>
        <w:jc w:val="both"/>
        <w:textAlignment w:val="auto"/>
        <w:outlineLvl w:val="9"/>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
          <w:bCs/>
          <w:color w:val="auto"/>
          <w:highlight w:val="none"/>
          <w:lang w:val="en-US" w:eastAsia="zh-CN"/>
        </w:rPr>
        <w:t>医药企业 pharmaceutical enterprises</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outlineLvl w:val="9"/>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医药行业的企业，包括药品、医疗器械的研发、生产和经营企业。</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outlineLvl w:val="9"/>
        <w:rPr>
          <w:rFonts w:hint="eastAsia" w:ascii="Times New Roman" w:hAnsi="Times New Roman"/>
          <w:highlight w:val="none"/>
          <w:lang w:val="en-US" w:eastAsia="zh-CN"/>
        </w:rPr>
      </w:pPr>
      <w:r>
        <w:rPr>
          <w:rFonts w:hint="eastAsia" w:asciiTheme="minorEastAsia" w:hAnsiTheme="minorEastAsia" w:eastAsiaTheme="minorEastAsia" w:cstheme="minorEastAsia"/>
        </w:rPr>
        <w:t>[来源：</w:t>
      </w:r>
      <w:r>
        <w:rPr>
          <w:rFonts w:hint="eastAsia" w:asciiTheme="minorEastAsia" w:hAnsiTheme="minorEastAsia" w:eastAsiaTheme="minorEastAsia" w:cstheme="minorEastAsia"/>
          <w:highlight w:val="none"/>
          <w:lang w:val="en-US" w:eastAsia="zh-CN"/>
        </w:rPr>
        <w:t>DB3207/T 2018—2024</w:t>
      </w:r>
      <w:r>
        <w:rPr>
          <w:rFonts w:hint="eastAsia" w:asciiTheme="minorEastAsia" w:hAnsiTheme="minorEastAsia" w:eastAsiaTheme="minorEastAsia" w:cstheme="minorEastAsia"/>
        </w:rPr>
        <w:t>]</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9"/>
        <w:rPr>
          <w:rFonts w:hint="eastAsia" w:ascii="Times New Roman" w:hAnsi="Times New Roman"/>
          <w:highlight w:val="none"/>
          <w:lang w:val="en-US" w:eastAsia="zh-CN"/>
        </w:rPr>
      </w:pPr>
      <w:r>
        <w:rPr>
          <w:rFonts w:hint="eastAsia" w:ascii="黑体" w:hAnsi="黑体" w:eastAsia="黑体" w:cs="黑体"/>
          <w:kern w:val="2"/>
          <w:sz w:val="21"/>
          <w:szCs w:val="24"/>
          <w:highlight w:val="none"/>
          <w:lang w:val="en-US" w:eastAsia="zh-CN" w:bidi="ar-SA"/>
        </w:rPr>
        <w:t>3.2</w:t>
      </w:r>
      <w:r>
        <w:rPr>
          <w:rFonts w:hint="eastAsia" w:ascii="Times New Roman" w:hAnsi="Times New Roman"/>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default" w:ascii="Times New Roman" w:hAnsi="Times New Roman"/>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 xml:space="preserve">信用评价 </w:t>
      </w:r>
      <w:r>
        <w:rPr>
          <w:rFonts w:hint="eastAsia" w:asciiTheme="minorEastAsia" w:hAnsiTheme="minorEastAsia" w:eastAsiaTheme="minorEastAsia" w:cstheme="minorEastAsia"/>
          <w:b/>
          <w:bCs/>
          <w:highlight w:val="none"/>
          <w:lang w:val="en-US" w:eastAsia="zh-CN"/>
        </w:rPr>
        <w:t>credit valuation</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outlineLvl w:val="9"/>
        <w:rPr>
          <w:rFonts w:hint="eastAsia" w:ascii="Times New Roman" w:hAnsi="Times New Roman"/>
          <w:highlight w:val="none"/>
          <w:lang w:val="en-US" w:eastAsia="zh-CN"/>
        </w:rPr>
      </w:pPr>
      <w:r>
        <w:rPr>
          <w:rFonts w:hint="eastAsia" w:ascii="Times New Roman" w:hAnsi="Times New Roman"/>
          <w:highlight w:val="none"/>
          <w:lang w:val="en-US" w:eastAsia="zh-CN"/>
        </w:rPr>
        <w:t>对信用主体在某一时期的诚信状况进行记录、分析和评估，并用特定符号标明其诚信状况的活动。</w:t>
      </w:r>
    </w:p>
    <w:p>
      <w:pPr>
        <w:pStyle w:val="10"/>
        <w:keepNext w:val="0"/>
        <w:keepLines w:val="0"/>
        <w:pageBreakBefore w:val="0"/>
        <w:widowControl w:val="0"/>
        <w:kinsoku/>
        <w:wordWrap/>
        <w:overflowPunct/>
        <w:topLinePunct w:val="0"/>
        <w:autoSpaceDE/>
        <w:autoSpaceDN/>
        <w:bidi w:val="0"/>
        <w:adjustRightInd/>
        <w:snapToGrid/>
        <w:spacing w:after="313" w:afterLines="100" w:line="360" w:lineRule="auto"/>
        <w:ind w:left="108" w:firstLine="420" w:firstLineChars="200"/>
        <w:jc w:val="both"/>
        <w:textAlignment w:val="auto"/>
        <w:outlineLvl w:val="9"/>
        <w:rPr>
          <w:rFonts w:hint="eastAsia" w:asciiTheme="minorEastAsia" w:hAnsiTheme="minorEastAsia" w:eastAsiaTheme="minorEastAsia" w:cstheme="minorEastAsia"/>
          <w:b/>
          <w:bCs/>
          <w:spacing w:val="-7"/>
          <w:kern w:val="2"/>
          <w:sz w:val="32"/>
          <w:szCs w:val="32"/>
          <w:lang w:val="en-US" w:eastAsia="zh-CN" w:bidi="ar-SA"/>
        </w:rPr>
      </w:pPr>
      <w:r>
        <w:rPr>
          <w:rFonts w:hint="eastAsia" w:asciiTheme="minorEastAsia" w:hAnsiTheme="minorEastAsia" w:eastAsiaTheme="minorEastAsia" w:cstheme="minorEastAsia"/>
          <w:highlight w:val="none"/>
          <w:lang w:val="en-US" w:eastAsia="zh-CN"/>
        </w:rPr>
        <w:t>[来源：GB/T 22117—2018.9.5]</w:t>
      </w:r>
    </w:p>
    <w:p>
      <w:pPr>
        <w:pStyle w:val="10"/>
        <w:keepNext w:val="0"/>
        <w:keepLines w:val="0"/>
        <w:pageBreakBefore w:val="0"/>
        <w:widowControl w:val="0"/>
        <w:kinsoku/>
        <w:wordWrap/>
        <w:overflowPunct/>
        <w:topLinePunct w:val="0"/>
        <w:autoSpaceDE/>
        <w:autoSpaceDN/>
        <w:bidi w:val="0"/>
        <w:adjustRightInd/>
        <w:snapToGrid/>
        <w:spacing w:after="320" w:afterLines="100" w:line="360" w:lineRule="auto"/>
        <w:ind w:left="108"/>
        <w:jc w:val="both"/>
        <w:textAlignment w:val="auto"/>
        <w:outlineLvl w:val="0"/>
        <w:rPr>
          <w:rFonts w:hint="eastAsia" w:ascii="Times New Roman" w:hAnsi="Times New Roman" w:eastAsia="黑体" w:cs="黑体"/>
          <w:highlight w:val="none"/>
          <w:lang w:val="en-US" w:eastAsia="zh-CN"/>
        </w:rPr>
      </w:pPr>
      <w:bookmarkStart w:id="9" w:name="_Toc3941"/>
      <w:bookmarkStart w:id="10" w:name="_Toc13487"/>
      <w:r>
        <w:rPr>
          <w:rFonts w:hint="eastAsia" w:ascii="黑体" w:hAnsi="黑体" w:eastAsia="黑体" w:cs="黑体"/>
          <w:kern w:val="2"/>
          <w:sz w:val="21"/>
          <w:szCs w:val="24"/>
          <w:highlight w:val="none"/>
          <w:lang w:val="en-US" w:eastAsia="zh-CN" w:bidi="ar-SA"/>
        </w:rPr>
        <w:t>4</w:t>
      </w:r>
      <w:r>
        <w:rPr>
          <w:rFonts w:hint="eastAsia" w:ascii="Times New Roman" w:hAnsi="Times New Roman" w:eastAsia="黑体" w:cs="黑体"/>
          <w:highlight w:val="none"/>
          <w:lang w:val="en-US" w:eastAsia="zh-CN"/>
        </w:rPr>
        <w:t xml:space="preserve">  基本原则</w:t>
      </w:r>
      <w:bookmarkEnd w:id="9"/>
      <w:bookmarkEnd w:id="10"/>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11" w:name="_Toc14313"/>
      <w:bookmarkStart w:id="12" w:name="_Toc22842"/>
      <w:bookmarkStart w:id="13" w:name="_Toc16070"/>
      <w:r>
        <w:rPr>
          <w:rFonts w:hint="eastAsia" w:ascii="黑体" w:hAnsi="黑体" w:eastAsia="黑体" w:cs="黑体"/>
          <w:kern w:val="2"/>
          <w:sz w:val="21"/>
          <w:szCs w:val="24"/>
          <w:highlight w:val="none"/>
          <w:lang w:val="en-US" w:eastAsia="zh-CN" w:bidi="ar-SA"/>
        </w:rPr>
        <w:t>4.1</w:t>
      </w:r>
      <w:r>
        <w:rPr>
          <w:rFonts w:hint="eastAsia" w:ascii="Times New Roman" w:hAnsi="Times New Roman" w:eastAsia="黑体" w:cs="黑体"/>
          <w:highlight w:val="none"/>
          <w:lang w:val="en-US" w:eastAsia="zh-CN"/>
        </w:rPr>
        <w:t xml:space="preserve"> 科学性</w:t>
      </w:r>
      <w:bookmarkEnd w:id="11"/>
      <w:bookmarkEnd w:id="12"/>
      <w:bookmarkEnd w:id="13"/>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信用评价指标数据可获取，信用评价方法可行，信用评价评分操作性强。</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14" w:name="_Toc32111"/>
      <w:bookmarkStart w:id="15" w:name="_Toc5743"/>
      <w:r>
        <w:rPr>
          <w:rFonts w:hint="eastAsia" w:ascii="黑体" w:hAnsi="黑体" w:eastAsia="黑体" w:cs="黑体"/>
          <w:kern w:val="2"/>
          <w:sz w:val="21"/>
          <w:szCs w:val="24"/>
          <w:highlight w:val="none"/>
          <w:lang w:val="en-US" w:eastAsia="zh-CN" w:bidi="ar-SA"/>
        </w:rPr>
        <w:t>4.2</w:t>
      </w:r>
      <w:r>
        <w:rPr>
          <w:rFonts w:hint="eastAsia" w:ascii="Times New Roman" w:hAnsi="Times New Roman" w:eastAsia="黑体" w:cs="黑体"/>
          <w:highlight w:val="none"/>
          <w:lang w:val="en-US" w:eastAsia="zh-CN"/>
        </w:rPr>
        <w:t xml:space="preserve"> 公正性</w:t>
      </w:r>
      <w:bookmarkEnd w:id="14"/>
      <w:bookmarkEnd w:id="15"/>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秉持独立、客观、平等的原则，不受外来因素影响。</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16" w:name="_Toc13472"/>
      <w:bookmarkStart w:id="17" w:name="_Toc27355"/>
      <w:r>
        <w:rPr>
          <w:rFonts w:hint="eastAsia" w:ascii="黑体" w:hAnsi="黑体" w:eastAsia="黑体" w:cs="黑体"/>
          <w:kern w:val="2"/>
          <w:sz w:val="21"/>
          <w:szCs w:val="24"/>
          <w:highlight w:val="none"/>
          <w:lang w:val="en-US" w:eastAsia="zh-CN" w:bidi="ar-SA"/>
        </w:rPr>
        <w:t>4.3</w:t>
      </w:r>
      <w:r>
        <w:rPr>
          <w:rFonts w:hint="eastAsia" w:ascii="Times New Roman" w:hAnsi="Times New Roman" w:eastAsia="黑体" w:cs="黑体"/>
          <w:highlight w:val="none"/>
          <w:lang w:val="en-US" w:eastAsia="zh-CN"/>
        </w:rPr>
        <w:t xml:space="preserve"> 客观性</w:t>
      </w:r>
      <w:bookmarkEnd w:id="16"/>
      <w:bookmarkEnd w:id="17"/>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对采集到的信用主体信用信息采取相应方法核实比对，务求真实客观反映其信用状况。</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18" w:name="_Toc26830"/>
      <w:bookmarkStart w:id="19" w:name="_Toc24076"/>
      <w:bookmarkStart w:id="20" w:name="_Toc24911"/>
      <w:r>
        <w:rPr>
          <w:rFonts w:hint="eastAsia" w:ascii="黑体" w:hAnsi="黑体" w:eastAsia="黑体" w:cs="黑体"/>
          <w:kern w:val="2"/>
          <w:sz w:val="21"/>
          <w:szCs w:val="24"/>
          <w:highlight w:val="none"/>
          <w:lang w:val="en-US" w:eastAsia="zh-CN" w:bidi="ar-SA"/>
        </w:rPr>
        <w:t>4.4</w:t>
      </w:r>
      <w:r>
        <w:rPr>
          <w:rFonts w:hint="eastAsia" w:ascii="Times New Roman" w:hAnsi="Times New Roman" w:eastAsia="黑体" w:cs="黑体"/>
          <w:highlight w:val="none"/>
          <w:lang w:val="en-US" w:eastAsia="zh-CN"/>
        </w:rPr>
        <w:t xml:space="preserve"> 审慎性</w:t>
      </w:r>
      <w:bookmarkEnd w:id="18"/>
      <w:bookmarkEnd w:id="19"/>
      <w:bookmarkEnd w:id="20"/>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在对信用主体进行信用分析、评价的过程中，尤其在信用主体提供的信用信息不完备或不能核实的情况下，应持审慎态度。</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21" w:name="_Toc12146"/>
      <w:bookmarkStart w:id="22" w:name="_Toc6074"/>
      <w:bookmarkStart w:id="23" w:name="_Toc2951"/>
      <w:r>
        <w:rPr>
          <w:rFonts w:hint="eastAsia" w:ascii="黑体" w:hAnsi="黑体" w:eastAsia="黑体" w:cs="黑体"/>
          <w:kern w:val="2"/>
          <w:sz w:val="21"/>
          <w:szCs w:val="24"/>
          <w:highlight w:val="none"/>
          <w:lang w:val="en-US" w:eastAsia="zh-CN" w:bidi="ar-SA"/>
        </w:rPr>
        <w:t>4.5</w:t>
      </w:r>
      <w:r>
        <w:rPr>
          <w:rFonts w:hint="eastAsia" w:ascii="Times New Roman" w:hAnsi="Times New Roman" w:eastAsia="黑体" w:cs="黑体"/>
          <w:highlight w:val="none"/>
          <w:lang w:val="en-US" w:eastAsia="zh-CN"/>
        </w:rPr>
        <w:t xml:space="preserve"> 安全性</w:t>
      </w:r>
      <w:bookmarkEnd w:id="21"/>
      <w:bookmarkEnd w:id="22"/>
      <w:bookmarkEnd w:id="23"/>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采取必要措施，确保信用评价指标中数据的采集、使用和发布处于有效保护和合法利用的状态。</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24" w:name="_Toc8369"/>
      <w:bookmarkStart w:id="25" w:name="_Toc2133"/>
      <w:bookmarkStart w:id="26" w:name="_Toc29797"/>
      <w:r>
        <w:rPr>
          <w:rFonts w:hint="eastAsia" w:ascii="黑体" w:hAnsi="黑体" w:eastAsia="黑体" w:cs="黑体"/>
          <w:kern w:val="2"/>
          <w:sz w:val="21"/>
          <w:szCs w:val="24"/>
          <w:highlight w:val="none"/>
          <w:lang w:val="en-US" w:eastAsia="zh-CN" w:bidi="ar-SA"/>
        </w:rPr>
        <w:t>4.6</w:t>
      </w:r>
      <w:r>
        <w:rPr>
          <w:rFonts w:hint="eastAsia" w:ascii="Times New Roman" w:hAnsi="Times New Roman" w:eastAsia="黑体" w:cs="黑体"/>
          <w:highlight w:val="none"/>
          <w:lang w:val="en-US" w:eastAsia="zh-CN"/>
        </w:rPr>
        <w:t xml:space="preserve"> 综合性</w:t>
      </w:r>
      <w:bookmarkEnd w:id="24"/>
      <w:bookmarkEnd w:id="25"/>
      <w:bookmarkEnd w:id="26"/>
    </w:p>
    <w:p>
      <w:pPr>
        <w:pStyle w:val="10"/>
        <w:keepNext w:val="0"/>
        <w:keepLines w:val="0"/>
        <w:pageBreakBefore w:val="0"/>
        <w:widowControl w:val="0"/>
        <w:kinsoku/>
        <w:wordWrap/>
        <w:overflowPunct/>
        <w:topLinePunct w:val="0"/>
        <w:autoSpaceDE/>
        <w:autoSpaceDN/>
        <w:bidi w:val="0"/>
        <w:adjustRightInd/>
        <w:snapToGrid/>
        <w:spacing w:after="320" w:afterLines="100" w:line="360" w:lineRule="auto"/>
        <w:ind w:left="108" w:firstLine="420" w:firstLineChars="200"/>
        <w:jc w:val="both"/>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从</w:t>
      </w:r>
      <w:r>
        <w:rPr>
          <w:rFonts w:hint="default" w:ascii="Times New Roman" w:hAnsi="Times New Roman"/>
          <w:highlight w:val="none"/>
          <w:lang w:val="en-US" w:eastAsia="zh-CN"/>
        </w:rPr>
        <w:t>多个维度</w:t>
      </w:r>
      <w:r>
        <w:rPr>
          <w:rFonts w:hint="eastAsia" w:ascii="Times New Roman" w:hAnsi="Times New Roman"/>
          <w:highlight w:val="none"/>
          <w:lang w:val="en-US" w:eastAsia="zh-CN"/>
        </w:rPr>
        <w:t>设置信用评价指标</w:t>
      </w:r>
      <w:r>
        <w:rPr>
          <w:rFonts w:hint="default" w:ascii="Times New Roman" w:hAnsi="Times New Roman"/>
          <w:highlight w:val="none"/>
          <w:lang w:val="en-US" w:eastAsia="zh-CN"/>
        </w:rPr>
        <w:t>，对</w:t>
      </w:r>
      <w:r>
        <w:rPr>
          <w:rFonts w:hint="eastAsia" w:ascii="Times New Roman" w:hAnsi="Times New Roman"/>
          <w:highlight w:val="none"/>
          <w:lang w:val="en-US" w:eastAsia="zh-CN"/>
        </w:rPr>
        <w:t>医药企业</w:t>
      </w:r>
      <w:r>
        <w:rPr>
          <w:rFonts w:hint="default" w:ascii="Times New Roman" w:hAnsi="Times New Roman"/>
          <w:highlight w:val="none"/>
          <w:lang w:val="en-US" w:eastAsia="zh-CN"/>
        </w:rPr>
        <w:t>的公共诚信水平进行综合全面的评价</w:t>
      </w:r>
      <w:r>
        <w:rPr>
          <w:rFonts w:hint="eastAsia" w:ascii="Times New Roman" w:hAnsi="Times New Roman"/>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320" w:afterLines="100" w:line="360" w:lineRule="auto"/>
        <w:ind w:left="108"/>
        <w:jc w:val="both"/>
        <w:textAlignment w:val="auto"/>
        <w:outlineLvl w:val="0"/>
        <w:rPr>
          <w:rFonts w:hint="eastAsia" w:ascii="Times New Roman" w:hAnsi="Times New Roman" w:eastAsia="黑体" w:cs="黑体"/>
          <w:highlight w:val="none"/>
          <w:lang w:val="en-US" w:eastAsia="zh-CN"/>
        </w:rPr>
      </w:pPr>
      <w:bookmarkStart w:id="27" w:name="_Toc11293"/>
      <w:bookmarkStart w:id="28" w:name="_Toc29024"/>
      <w:bookmarkStart w:id="29" w:name="_Toc16888"/>
      <w:r>
        <w:rPr>
          <w:rFonts w:hint="eastAsia" w:ascii="黑体" w:hAnsi="黑体" w:eastAsia="黑体" w:cs="黑体"/>
          <w:kern w:val="2"/>
          <w:sz w:val="21"/>
          <w:szCs w:val="24"/>
          <w:highlight w:val="none"/>
          <w:lang w:val="en-US" w:eastAsia="zh-CN" w:bidi="ar-SA"/>
        </w:rPr>
        <w:t>5</w:t>
      </w:r>
      <w:r>
        <w:rPr>
          <w:rFonts w:hint="eastAsia" w:ascii="Times New Roman" w:hAnsi="Times New Roman" w:eastAsia="黑体" w:cs="黑体"/>
          <w:highlight w:val="none"/>
          <w:lang w:val="en-US" w:eastAsia="zh-CN"/>
        </w:rPr>
        <w:t xml:space="preserve">  </w:t>
      </w:r>
      <w:bookmarkEnd w:id="27"/>
      <w:r>
        <w:rPr>
          <w:rFonts w:hint="eastAsia" w:ascii="Times New Roman" w:hAnsi="Times New Roman" w:eastAsia="黑体" w:cs="黑体"/>
          <w:highlight w:val="none"/>
          <w:lang w:val="en-US" w:eastAsia="zh-CN"/>
        </w:rPr>
        <w:t>评价指标和方法</w:t>
      </w:r>
      <w:bookmarkEnd w:id="28"/>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30" w:name="_Toc17320"/>
      <w:bookmarkStart w:id="31" w:name="_Toc7392"/>
      <w:bookmarkStart w:id="32" w:name="_Toc30272"/>
      <w:r>
        <w:rPr>
          <w:rFonts w:hint="eastAsia" w:ascii="黑体" w:hAnsi="黑体" w:eastAsia="黑体" w:cs="黑体"/>
          <w:kern w:val="2"/>
          <w:sz w:val="21"/>
          <w:szCs w:val="24"/>
          <w:highlight w:val="none"/>
          <w:lang w:val="en-US" w:eastAsia="zh-CN" w:bidi="ar-SA"/>
        </w:rPr>
        <w:t>5.1</w:t>
      </w:r>
      <w:r>
        <w:rPr>
          <w:rFonts w:hint="eastAsia" w:ascii="Times New Roman" w:hAnsi="Times New Roman" w:eastAsia="黑体" w:cs="黑体"/>
          <w:highlight w:val="none"/>
          <w:lang w:val="en-US" w:eastAsia="zh-CN"/>
        </w:rPr>
        <w:t xml:space="preserve"> 评价指标</w:t>
      </w:r>
      <w:bookmarkEnd w:id="30"/>
      <w:bookmarkEnd w:id="31"/>
      <w:bookmarkEnd w:id="32"/>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eastAsia="宋体" w:cs="宋体"/>
          <w:highlight w:val="none"/>
          <w:lang w:val="en-US" w:eastAsia="zh-CN"/>
        </w:rPr>
      </w:pPr>
      <w:r>
        <w:rPr>
          <w:rFonts w:hint="eastAsia" w:ascii="Times New Roman" w:hAnsi="Times New Roman"/>
          <w:highlight w:val="none"/>
          <w:lang w:val="en-US" w:eastAsia="zh-CN"/>
        </w:rPr>
        <w:t>医药领域企业信用评价</w:t>
      </w:r>
      <w:r>
        <w:rPr>
          <w:rFonts w:hint="eastAsia" w:ascii="Times New Roman" w:hAnsi="Times New Roman" w:eastAsia="宋体" w:cs="宋体"/>
          <w:highlight w:val="none"/>
          <w:lang w:val="en-US" w:eastAsia="zh-CN"/>
        </w:rPr>
        <w:t>内容包括企业公共部分信用评价和专业部分信用评价两个部分。</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heme="minorEastAsia" w:hAnsiTheme="minorEastAsia" w:eastAsiaTheme="minorEastAsia" w:cstheme="minorEastAsia"/>
          <w:highlight w:val="none"/>
          <w:lang w:val="en-US" w:eastAsia="zh-CN"/>
        </w:rPr>
      </w:pPr>
      <w:r>
        <w:rPr>
          <w:rFonts w:hint="eastAsia" w:ascii="Times New Roman" w:hAnsi="Times New Roman" w:eastAsia="宋体" w:cs="宋体"/>
          <w:highlight w:val="none"/>
          <w:lang w:val="en-US" w:eastAsia="zh-CN"/>
        </w:rPr>
        <w:t>评价指标包括公共部分信用评价指标和专业部分信用评价指标，公共部分信用评价指标为医药生产类企业、批发类企业、零售连锁企业通用指标，其涵盖经营管理、遵纪守法、履约践诺、发展创新、社会责任、财务状况六个一级指标，同时设定了二级指标和三级指标</w:t>
      </w:r>
      <w:r>
        <w:rPr>
          <w:rFonts w:hint="eastAsia" w:asciiTheme="minorEastAsia" w:hAnsiTheme="minorEastAsia" w:eastAsiaTheme="minorEastAsia" w:cstheme="minorEastAsia"/>
          <w:highlight w:val="none"/>
          <w:lang w:val="en-US" w:eastAsia="zh-CN"/>
        </w:rPr>
        <w:t>（见附录A表A.1）。专业部分信用评价指标依据医药生产类企业、批发类企业、零售连锁企业的特性分别设置，并设定了二级指标（见附录A表A.2、A.3、A.4）。</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33" w:name="_Toc5701"/>
      <w:r>
        <w:rPr>
          <w:rFonts w:hint="eastAsia" w:ascii="黑体" w:hAnsi="黑体" w:eastAsia="黑体" w:cs="黑体"/>
          <w:kern w:val="2"/>
          <w:sz w:val="21"/>
          <w:szCs w:val="24"/>
          <w:highlight w:val="none"/>
          <w:lang w:val="en-US" w:eastAsia="zh-CN" w:bidi="ar-SA"/>
        </w:rPr>
        <w:t>5.2</w:t>
      </w:r>
      <w:r>
        <w:rPr>
          <w:rFonts w:hint="eastAsia" w:ascii="Times New Roman" w:hAnsi="Times New Roman" w:eastAsia="黑体" w:cs="黑体"/>
          <w:highlight w:val="none"/>
          <w:lang w:val="en-US" w:eastAsia="zh-CN"/>
        </w:rPr>
        <w:t xml:space="preserve"> 评价方法</w:t>
      </w:r>
      <w:bookmarkEnd w:id="33"/>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医药领域企业信用评价采用综合评分法，信用分值范围为[0,1000]。公共部分信用评价总分1000分，权重占比60%；专业部分信用评价总分1000分，权重占比40%。</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信用主体最终评价得分=公共部分信用评分*60%+专业部分信用评分*40%。</w:t>
      </w:r>
    </w:p>
    <w:p>
      <w:pPr>
        <w:pStyle w:val="10"/>
        <w:keepNext w:val="0"/>
        <w:keepLines w:val="0"/>
        <w:pageBreakBefore w:val="0"/>
        <w:widowControl w:val="0"/>
        <w:kinsoku/>
        <w:wordWrap/>
        <w:overflowPunct/>
        <w:topLinePunct w:val="0"/>
        <w:autoSpaceDE/>
        <w:autoSpaceDN/>
        <w:bidi w:val="0"/>
        <w:adjustRightInd/>
        <w:snapToGrid/>
        <w:spacing w:after="313" w:afterLines="100" w:line="360" w:lineRule="auto"/>
        <w:ind w:left="108" w:firstLine="420" w:firstLineChars="200"/>
        <w:jc w:val="both"/>
        <w:textAlignment w:val="auto"/>
        <w:rPr>
          <w:rFonts w:hint="eastAsia" w:ascii="Times New Roman" w:hAnsi="Times New Roman"/>
          <w:highlight w:val="none"/>
          <w:lang w:val="en-US" w:eastAsia="zh-CN"/>
        </w:rPr>
      </w:pPr>
      <w:r>
        <w:rPr>
          <w:rFonts w:hint="eastAsia" w:asciiTheme="minorEastAsia" w:hAnsiTheme="minorEastAsia" w:eastAsiaTheme="minorEastAsia" w:cstheme="minorEastAsia"/>
          <w:highlight w:val="none"/>
          <w:lang w:val="en-US" w:eastAsia="zh-CN"/>
        </w:rPr>
        <w:t>当同一信用信息或同一事项符合评价标准中多个指标时，按照“就高不就低”原则执行，不重复加/扣分。</w:t>
      </w:r>
    </w:p>
    <w:p>
      <w:pPr>
        <w:pStyle w:val="10"/>
        <w:keepNext w:val="0"/>
        <w:keepLines w:val="0"/>
        <w:pageBreakBefore w:val="0"/>
        <w:widowControl w:val="0"/>
        <w:kinsoku/>
        <w:wordWrap/>
        <w:overflowPunct/>
        <w:topLinePunct w:val="0"/>
        <w:autoSpaceDE/>
        <w:autoSpaceDN/>
        <w:bidi w:val="0"/>
        <w:adjustRightInd/>
        <w:snapToGrid/>
        <w:spacing w:after="320" w:afterLines="100" w:line="360" w:lineRule="auto"/>
        <w:ind w:left="108"/>
        <w:jc w:val="both"/>
        <w:textAlignment w:val="auto"/>
        <w:outlineLvl w:val="0"/>
        <w:rPr>
          <w:rFonts w:hint="eastAsia" w:ascii="Times New Roman" w:hAnsi="Times New Roman" w:eastAsia="黑体" w:cs="黑体"/>
          <w:highlight w:val="none"/>
          <w:lang w:val="en-US" w:eastAsia="zh-CN"/>
        </w:rPr>
      </w:pPr>
      <w:bookmarkStart w:id="34" w:name="_Toc12277"/>
      <w:r>
        <w:rPr>
          <w:rFonts w:hint="eastAsia" w:ascii="黑体" w:hAnsi="黑体" w:eastAsia="黑体" w:cs="黑体"/>
          <w:kern w:val="2"/>
          <w:sz w:val="21"/>
          <w:szCs w:val="24"/>
          <w:highlight w:val="none"/>
          <w:lang w:val="en-US" w:eastAsia="zh-CN" w:bidi="ar-SA"/>
        </w:rPr>
        <w:t>6</w:t>
      </w:r>
      <w:r>
        <w:rPr>
          <w:rFonts w:hint="eastAsia" w:ascii="Times New Roman" w:hAnsi="Times New Roman" w:eastAsia="黑体" w:cs="黑体"/>
          <w:highlight w:val="none"/>
          <w:lang w:val="en-US" w:eastAsia="zh-CN"/>
        </w:rPr>
        <w:t xml:space="preserve">  评价流程</w:t>
      </w:r>
      <w:bookmarkEnd w:id="29"/>
      <w:bookmarkEnd w:id="34"/>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35" w:name="_Toc9369"/>
      <w:r>
        <w:rPr>
          <w:rFonts w:hint="eastAsia" w:ascii="黑体" w:hAnsi="黑体" w:eastAsia="黑体" w:cs="黑体"/>
          <w:kern w:val="2"/>
          <w:sz w:val="21"/>
          <w:szCs w:val="24"/>
          <w:highlight w:val="none"/>
          <w:lang w:val="en-US" w:eastAsia="zh-CN" w:bidi="ar-SA"/>
        </w:rPr>
        <w:t>6.1</w:t>
      </w:r>
      <w:r>
        <w:rPr>
          <w:rFonts w:hint="eastAsia" w:ascii="Times New Roman" w:hAnsi="Times New Roman" w:eastAsia="黑体" w:cs="黑体"/>
          <w:highlight w:val="none"/>
          <w:lang w:val="en-US" w:eastAsia="zh-CN"/>
        </w:rPr>
        <w:t xml:space="preserve"> 申请受理</w:t>
      </w:r>
      <w:bookmarkEnd w:id="35"/>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评价主体在收到信用主体的评价申请后，信用主体与评价主体当事双方签订企业信用评价协议，并将相关评价资料提交至评价主体。</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36" w:name="_Toc13509"/>
      <w:r>
        <w:rPr>
          <w:rFonts w:hint="eastAsia" w:ascii="黑体" w:hAnsi="黑体" w:eastAsia="黑体" w:cs="黑体"/>
          <w:kern w:val="2"/>
          <w:sz w:val="21"/>
          <w:szCs w:val="24"/>
          <w:highlight w:val="none"/>
          <w:lang w:val="en-US" w:eastAsia="zh-CN" w:bidi="ar-SA"/>
        </w:rPr>
        <w:t>6.2</w:t>
      </w:r>
      <w:r>
        <w:rPr>
          <w:rFonts w:hint="eastAsia" w:ascii="Times New Roman" w:hAnsi="Times New Roman" w:eastAsia="黑体" w:cs="黑体"/>
          <w:highlight w:val="none"/>
          <w:lang w:val="en-US" w:eastAsia="zh-CN"/>
        </w:rPr>
        <w:t xml:space="preserve"> 信用初评</w:t>
      </w:r>
      <w:bookmarkEnd w:id="36"/>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评价主体负责信用主体的信用信息归集并审核，审核完毕后对信用主体按照本文件的指标体系和权重禀赋规则进行综合评价，撰写信用评价报告初稿，初步确定信用主体的信用等级。</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37" w:name="_Toc24683"/>
      <w:r>
        <w:rPr>
          <w:rFonts w:hint="eastAsia" w:ascii="黑体" w:hAnsi="黑体" w:eastAsia="黑体" w:cs="黑体"/>
          <w:kern w:val="2"/>
          <w:sz w:val="21"/>
          <w:szCs w:val="24"/>
          <w:highlight w:val="none"/>
          <w:lang w:val="en-US" w:eastAsia="zh-CN" w:bidi="ar-SA"/>
        </w:rPr>
        <w:t>6.3</w:t>
      </w:r>
      <w:r>
        <w:rPr>
          <w:rFonts w:hint="eastAsia" w:ascii="Times New Roman" w:hAnsi="Times New Roman" w:eastAsia="黑体" w:cs="黑体"/>
          <w:highlight w:val="none"/>
          <w:lang w:val="en-US" w:eastAsia="zh-CN"/>
        </w:rPr>
        <w:t xml:space="preserve"> 等级复核</w:t>
      </w:r>
      <w:bookmarkEnd w:id="37"/>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评价主体将初步拟定的信用主体信用等级报送至四川省医药行业协会、重庆医药行业协会，协会审核信用主体的信用等级并提出意见及建议。</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38" w:name="_Toc5542"/>
      <w:r>
        <w:rPr>
          <w:rFonts w:hint="eastAsia" w:ascii="黑体" w:hAnsi="黑体" w:eastAsia="黑体" w:cs="黑体"/>
          <w:kern w:val="2"/>
          <w:sz w:val="21"/>
          <w:szCs w:val="24"/>
          <w:highlight w:val="none"/>
          <w:lang w:val="en-US" w:eastAsia="zh-CN" w:bidi="ar-SA"/>
        </w:rPr>
        <w:t>6.4</w:t>
      </w:r>
      <w:r>
        <w:rPr>
          <w:rFonts w:hint="eastAsia" w:ascii="Times New Roman" w:hAnsi="Times New Roman" w:eastAsia="黑体" w:cs="黑体"/>
          <w:highlight w:val="none"/>
          <w:lang w:val="en-US" w:eastAsia="zh-CN"/>
        </w:rPr>
        <w:t xml:space="preserve"> 等级审定</w:t>
      </w:r>
      <w:bookmarkEnd w:id="38"/>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四川省医药行业协会、重庆医药行业协会组织召开信用评价结果专家评审会议，审定信用主体的最终等级。</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39" w:name="_Toc10077"/>
      <w:r>
        <w:rPr>
          <w:rFonts w:hint="eastAsia" w:ascii="黑体" w:hAnsi="黑体" w:eastAsia="黑体" w:cs="黑体"/>
          <w:kern w:val="2"/>
          <w:sz w:val="21"/>
          <w:szCs w:val="24"/>
          <w:highlight w:val="none"/>
          <w:lang w:val="en-US" w:eastAsia="zh-CN" w:bidi="ar-SA"/>
        </w:rPr>
        <w:t>6.5</w:t>
      </w:r>
      <w:r>
        <w:rPr>
          <w:rFonts w:hint="eastAsia" w:ascii="Times New Roman" w:hAnsi="Times New Roman" w:eastAsia="黑体" w:cs="黑体"/>
          <w:highlight w:val="none"/>
          <w:lang w:val="en-US" w:eastAsia="zh-CN"/>
        </w:rPr>
        <w:t xml:space="preserve"> 结果披露</w:t>
      </w:r>
      <w:bookmarkEnd w:id="39"/>
    </w:p>
    <w:p>
      <w:pPr>
        <w:pStyle w:val="10"/>
        <w:keepNext w:val="0"/>
        <w:keepLines w:val="0"/>
        <w:pageBreakBefore w:val="0"/>
        <w:widowControl w:val="0"/>
        <w:kinsoku/>
        <w:wordWrap/>
        <w:overflowPunct/>
        <w:topLinePunct w:val="0"/>
        <w:autoSpaceDE/>
        <w:autoSpaceDN/>
        <w:bidi w:val="0"/>
        <w:adjustRightInd/>
        <w:snapToGrid/>
        <w:spacing w:after="313" w:afterLines="100" w:line="360" w:lineRule="auto"/>
        <w:ind w:left="108" w:firstLine="42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信用评价结果通过四川省医药行业协会官网、重庆医药行业协会官网、四川省医药行业信用平台进行公示。</w:t>
      </w:r>
    </w:p>
    <w:p>
      <w:pPr>
        <w:pStyle w:val="10"/>
        <w:keepNext/>
        <w:keepLines w:val="0"/>
        <w:pageBreakBefore w:val="0"/>
        <w:widowControl w:val="0"/>
        <w:kinsoku/>
        <w:wordWrap/>
        <w:overflowPunct/>
        <w:topLinePunct w:val="0"/>
        <w:autoSpaceDE/>
        <w:autoSpaceDN/>
        <w:bidi w:val="0"/>
        <w:adjustRightInd/>
        <w:snapToGrid/>
        <w:spacing w:after="320" w:afterLines="100" w:line="360" w:lineRule="auto"/>
        <w:ind w:left="108"/>
        <w:jc w:val="both"/>
        <w:textAlignment w:val="auto"/>
        <w:outlineLvl w:val="0"/>
        <w:rPr>
          <w:rFonts w:hint="eastAsia" w:ascii="Times New Roman" w:hAnsi="Times New Roman" w:eastAsia="黑体" w:cs="黑体"/>
          <w:highlight w:val="none"/>
          <w:lang w:val="en-US" w:eastAsia="zh-CN"/>
        </w:rPr>
      </w:pPr>
      <w:bookmarkStart w:id="40" w:name="_Toc5538"/>
      <w:bookmarkStart w:id="41" w:name="_Toc4148"/>
      <w:r>
        <w:rPr>
          <w:rFonts w:hint="eastAsia" w:ascii="黑体" w:hAnsi="黑体" w:eastAsia="黑体" w:cs="黑体"/>
          <w:kern w:val="2"/>
          <w:sz w:val="21"/>
          <w:szCs w:val="24"/>
          <w:highlight w:val="none"/>
          <w:lang w:val="en-US" w:eastAsia="zh-CN" w:bidi="ar-SA"/>
        </w:rPr>
        <w:t>7</w:t>
      </w:r>
      <w:r>
        <w:rPr>
          <w:rFonts w:hint="eastAsia" w:ascii="Times New Roman" w:hAnsi="Times New Roman" w:eastAsia="黑体" w:cs="黑体"/>
          <w:highlight w:val="none"/>
          <w:lang w:val="en-US" w:eastAsia="zh-CN"/>
        </w:rPr>
        <w:t xml:space="preserve">  </w:t>
      </w:r>
      <w:bookmarkEnd w:id="40"/>
      <w:r>
        <w:rPr>
          <w:rFonts w:hint="eastAsia" w:ascii="Times New Roman" w:hAnsi="Times New Roman" w:eastAsia="黑体" w:cs="黑体"/>
          <w:highlight w:val="none"/>
          <w:lang w:val="en-US" w:eastAsia="zh-CN"/>
        </w:rPr>
        <w:t>信用等级及表示方法</w:t>
      </w:r>
      <w:bookmarkEnd w:id="41"/>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default" w:ascii="Times New Roman" w:hAnsi="Times New Roman" w:eastAsia="黑体" w:cs="黑体"/>
          <w:highlight w:val="none"/>
          <w:lang w:val="en-US" w:eastAsia="zh-CN"/>
        </w:rPr>
      </w:pPr>
      <w:bookmarkStart w:id="42" w:name="_Toc9515"/>
      <w:r>
        <w:rPr>
          <w:rFonts w:hint="eastAsia" w:ascii="黑体" w:hAnsi="黑体" w:eastAsia="黑体" w:cs="黑体"/>
          <w:kern w:val="2"/>
          <w:sz w:val="21"/>
          <w:szCs w:val="24"/>
          <w:highlight w:val="none"/>
          <w:lang w:val="en-US" w:eastAsia="zh-CN" w:bidi="ar-SA"/>
        </w:rPr>
        <w:t>7.1</w:t>
      </w:r>
      <w:r>
        <w:rPr>
          <w:rFonts w:hint="eastAsia" w:ascii="Times New Roman" w:hAnsi="Times New Roman" w:eastAsia="黑体" w:cs="黑体"/>
          <w:highlight w:val="none"/>
          <w:lang w:val="en-US" w:eastAsia="zh-CN"/>
        </w:rPr>
        <w:t xml:space="preserve"> 信用等级</w:t>
      </w:r>
      <w:bookmarkEnd w:id="42"/>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川渝</w:t>
      </w:r>
      <w:r>
        <w:rPr>
          <w:rFonts w:hint="eastAsia" w:asciiTheme="minorEastAsia" w:hAnsiTheme="minorEastAsia" w:eastAsiaTheme="minorEastAsia" w:cstheme="minorEastAsia"/>
          <w:highlight w:val="none"/>
          <w:lang w:val="en-US" w:eastAsia="zh-CN"/>
        </w:rPr>
        <w:t>医药领域企业信用等级从高到低分为A、B、C、D四等，设置为八级，分别为AAA级、AA级、A级、BBB级、BB级、B级、C级以及D级。每个级别可在字母后加上‘+’或‘-’进行微调。例如，AA级可微调为AA+或AA-级。AAA级为最高，可向下微调，D级为最低级别，C、D级不再细分差别、不做微调。</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center"/>
        <w:textAlignment w:val="auto"/>
        <w:rPr>
          <w:rFonts w:hint="eastAsia" w:ascii="Times New Roman" w:hAnsi="Times New Roman"/>
          <w:highlight w:val="none"/>
          <w:lang w:val="en-US" w:eastAsia="zh-CN"/>
        </w:rPr>
      </w:pPr>
      <w:r>
        <w:rPr>
          <w:rFonts w:hint="eastAsia" w:asciiTheme="minorEastAsia" w:hAnsiTheme="minorEastAsia" w:eastAsiaTheme="minorEastAsia" w:cstheme="minorEastAsia"/>
          <w:highlight w:val="none"/>
          <w:lang w:val="en-US" w:eastAsia="zh-CN"/>
        </w:rPr>
        <w:t>表1 信用等级及释义</w:t>
      </w:r>
    </w:p>
    <w:tbl>
      <w:tblPr>
        <w:tblStyle w:val="7"/>
        <w:tblW w:w="907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3893"/>
        <w:gridCol w:w="43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exact"/>
          <w:jc w:val="center"/>
        </w:trPr>
        <w:tc>
          <w:tcPr>
            <w:tcW w:w="817" w:type="dxa"/>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bCs/>
                <w:kern w:val="0"/>
                <w:position w:val="-2"/>
                <w:sz w:val="21"/>
                <w:szCs w:val="21"/>
              </w:rPr>
            </w:pPr>
            <w:r>
              <w:rPr>
                <w:rFonts w:hint="eastAsia" w:asciiTheme="minorEastAsia" w:hAnsiTheme="minorEastAsia" w:eastAsiaTheme="minorEastAsia" w:cstheme="minorEastAsia"/>
                <w:b/>
                <w:bCs/>
                <w:kern w:val="0"/>
                <w:position w:val="-2"/>
                <w:sz w:val="21"/>
                <w:szCs w:val="21"/>
              </w:rPr>
              <w:t>等级</w:t>
            </w:r>
          </w:p>
        </w:tc>
        <w:tc>
          <w:tcPr>
            <w:tcW w:w="3893" w:type="dxa"/>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bCs/>
                <w:kern w:val="0"/>
                <w:position w:val="-2"/>
                <w:sz w:val="21"/>
                <w:szCs w:val="21"/>
              </w:rPr>
            </w:pPr>
            <w:r>
              <w:rPr>
                <w:rFonts w:hint="eastAsia" w:asciiTheme="minorEastAsia" w:hAnsiTheme="minorEastAsia" w:eastAsiaTheme="minorEastAsia" w:cstheme="minorEastAsia"/>
                <w:b/>
                <w:bCs/>
                <w:kern w:val="0"/>
                <w:position w:val="-2"/>
                <w:sz w:val="21"/>
                <w:szCs w:val="21"/>
              </w:rPr>
              <w:t>评定分数</w:t>
            </w:r>
          </w:p>
        </w:tc>
        <w:tc>
          <w:tcPr>
            <w:tcW w:w="4369" w:type="dxa"/>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bCs/>
                <w:kern w:val="0"/>
                <w:position w:val="-2"/>
                <w:sz w:val="21"/>
                <w:szCs w:val="21"/>
                <w:lang w:eastAsia="zh-CN"/>
              </w:rPr>
            </w:pPr>
            <w:r>
              <w:rPr>
                <w:rFonts w:hint="eastAsia" w:asciiTheme="minorEastAsia" w:hAnsiTheme="minorEastAsia" w:eastAsiaTheme="minorEastAsia" w:cstheme="minorEastAsia"/>
                <w:b/>
                <w:bCs/>
                <w:kern w:val="0"/>
                <w:position w:val="-2"/>
                <w:sz w:val="21"/>
                <w:szCs w:val="21"/>
                <w:lang w:eastAsia="zh-CN"/>
              </w:rPr>
              <w:t>释义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817" w:type="dxa"/>
            <w:vMerge w:val="restart"/>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AAA</w:t>
            </w:r>
          </w:p>
        </w:tc>
        <w:tc>
          <w:tcPr>
            <w:tcW w:w="3893" w:type="dxa"/>
            <w:vAlign w:val="center"/>
          </w:tcPr>
          <w:p>
            <w:pPr>
              <w:autoSpaceDE w:val="0"/>
              <w:autoSpaceDN w:val="0"/>
              <w:adjustRightInd w:val="0"/>
              <w:ind w:right="-20"/>
              <w:jc w:val="center"/>
              <w:rPr>
                <w:rFonts w:hint="eastAsia" w:asciiTheme="minorEastAsia" w:hAnsiTheme="minorEastAsia" w:eastAsiaTheme="minorEastAsia" w:cstheme="minorEastAsia"/>
                <w:b w:val="0"/>
                <w:bCs w:val="0"/>
                <w:spacing w:val="-1"/>
                <w:kern w:val="0"/>
                <w:sz w:val="21"/>
                <w:szCs w:val="21"/>
                <w:lang w:eastAsia="zh-CN"/>
              </w:rPr>
            </w:pPr>
            <w:r>
              <w:rPr>
                <w:rFonts w:hint="eastAsia" w:asciiTheme="minorEastAsia" w:hAnsiTheme="minorEastAsia" w:eastAsiaTheme="minorEastAsia" w:cstheme="minorEastAsia"/>
                <w:b w:val="0"/>
                <w:bCs w:val="0"/>
                <w:spacing w:val="-1"/>
                <w:kern w:val="0"/>
                <w:sz w:val="21"/>
                <w:szCs w:val="21"/>
                <w:lang w:val="en-US" w:eastAsia="zh-CN"/>
              </w:rPr>
              <w:t>AAA：900</w:t>
            </w:r>
            <w:r>
              <w:rPr>
                <w:rFonts w:hint="eastAsia" w:asciiTheme="minorEastAsia" w:hAnsiTheme="minorEastAsia" w:eastAsiaTheme="minorEastAsia" w:cstheme="minorEastAsia"/>
                <w:b w:val="0"/>
                <w:bCs w:val="0"/>
                <w:spacing w:val="-1"/>
                <w:kern w:val="0"/>
                <w:sz w:val="21"/>
                <w:szCs w:val="21"/>
              </w:rPr>
              <w:t>分（含）至100</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w:t>
            </w:r>
            <w:r>
              <w:rPr>
                <w:rFonts w:hint="eastAsia" w:asciiTheme="minorEastAsia" w:hAnsiTheme="minorEastAsia" w:eastAsiaTheme="minorEastAsia" w:cstheme="minorEastAsia"/>
                <w:b w:val="0"/>
                <w:bCs w:val="0"/>
                <w:spacing w:val="-1"/>
                <w:kern w:val="0"/>
                <w:sz w:val="21"/>
                <w:szCs w:val="21"/>
                <w:lang w:eastAsia="zh-CN"/>
              </w:rPr>
              <w:t>（含）</w:t>
            </w:r>
          </w:p>
        </w:tc>
        <w:tc>
          <w:tcPr>
            <w:tcW w:w="4369"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position w:val="-2"/>
                <w:sz w:val="21"/>
                <w:szCs w:val="21"/>
              </w:rPr>
              <w:t>信用意识很强，严格遵守相关法律法规，自觉履行企业社会责任，各领域信用记录很好。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17" w:type="dxa"/>
            <w:vMerge w:val="continue"/>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p>
        </w:tc>
        <w:tc>
          <w:tcPr>
            <w:tcW w:w="3893" w:type="dxa"/>
            <w:vAlign w:val="center"/>
          </w:tcPr>
          <w:p>
            <w:pPr>
              <w:autoSpaceDE w:val="0"/>
              <w:autoSpaceDN w:val="0"/>
              <w:adjustRightInd w:val="0"/>
              <w:ind w:right="-20"/>
              <w:jc w:val="center"/>
              <w:rPr>
                <w:rFonts w:hint="eastAsia" w:asciiTheme="minorEastAsia" w:hAnsiTheme="minorEastAsia" w:eastAsiaTheme="minorEastAsia" w:cstheme="minorEastAsia"/>
                <w:b w:val="0"/>
                <w:bCs w:val="0"/>
                <w:spacing w:val="-1"/>
                <w:kern w:val="0"/>
                <w:sz w:val="21"/>
                <w:szCs w:val="21"/>
                <w:lang w:val="en-US" w:eastAsia="zh-CN"/>
              </w:rPr>
            </w:pPr>
            <w:r>
              <w:rPr>
                <w:rFonts w:hint="eastAsia" w:asciiTheme="minorEastAsia" w:hAnsiTheme="minorEastAsia" w:eastAsiaTheme="minorEastAsia" w:cstheme="minorEastAsia"/>
                <w:b w:val="0"/>
                <w:bCs w:val="0"/>
                <w:spacing w:val="-1"/>
                <w:kern w:val="0"/>
                <w:sz w:val="21"/>
                <w:szCs w:val="21"/>
                <w:lang w:val="en-US" w:eastAsia="zh-CN"/>
              </w:rPr>
              <w:t>AAA-：</w:t>
            </w:r>
            <w:r>
              <w:rPr>
                <w:rFonts w:hint="eastAsia" w:asciiTheme="minorEastAsia" w:hAnsiTheme="minorEastAsia" w:eastAsiaTheme="minorEastAsia" w:cstheme="minorEastAsia"/>
                <w:b w:val="0"/>
                <w:bCs w:val="0"/>
                <w:spacing w:val="-1"/>
                <w:kern w:val="0"/>
                <w:sz w:val="21"/>
                <w:szCs w:val="21"/>
              </w:rPr>
              <w:t>8</w:t>
            </w:r>
            <w:r>
              <w:rPr>
                <w:rFonts w:hint="eastAsia" w:asciiTheme="minorEastAsia" w:hAnsiTheme="minorEastAsia" w:eastAsiaTheme="minorEastAsia" w:cstheme="minorEastAsia"/>
                <w:b w:val="0"/>
                <w:bCs w:val="0"/>
                <w:spacing w:val="-1"/>
                <w:kern w:val="0"/>
                <w:sz w:val="21"/>
                <w:szCs w:val="21"/>
                <w:lang w:val="en-US" w:eastAsia="zh-CN"/>
              </w:rPr>
              <w:t>50</w:t>
            </w:r>
            <w:r>
              <w:rPr>
                <w:rFonts w:hint="eastAsia" w:asciiTheme="minorEastAsia" w:hAnsiTheme="minorEastAsia" w:eastAsiaTheme="minorEastAsia" w:cstheme="minorEastAsia"/>
                <w:b w:val="0"/>
                <w:bCs w:val="0"/>
                <w:spacing w:val="-1"/>
                <w:kern w:val="0"/>
                <w:sz w:val="21"/>
                <w:szCs w:val="21"/>
              </w:rPr>
              <w:t>分（含）-</w:t>
            </w:r>
            <w:r>
              <w:rPr>
                <w:rFonts w:hint="eastAsia" w:asciiTheme="minorEastAsia" w:hAnsiTheme="minorEastAsia" w:eastAsiaTheme="minorEastAsia" w:cstheme="minorEastAsia"/>
                <w:b w:val="0"/>
                <w:bCs w:val="0"/>
                <w:spacing w:val="-1"/>
                <w:kern w:val="0"/>
                <w:sz w:val="21"/>
                <w:szCs w:val="21"/>
                <w:lang w:val="en-US" w:eastAsia="zh-CN"/>
              </w:rPr>
              <w:t>900</w:t>
            </w:r>
            <w:r>
              <w:rPr>
                <w:rFonts w:hint="eastAsia" w:asciiTheme="minorEastAsia" w:hAnsiTheme="minorEastAsia" w:eastAsiaTheme="minorEastAsia" w:cstheme="minorEastAsia"/>
                <w:b w:val="0"/>
                <w:bCs w:val="0"/>
                <w:spacing w:val="-1"/>
                <w:kern w:val="0"/>
                <w:sz w:val="21"/>
                <w:szCs w:val="21"/>
              </w:rPr>
              <w:t>分（不含）</w:t>
            </w:r>
          </w:p>
        </w:tc>
        <w:tc>
          <w:tcPr>
            <w:tcW w:w="436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817" w:type="dxa"/>
            <w:vMerge w:val="restart"/>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AA</w:t>
            </w:r>
          </w:p>
        </w:tc>
        <w:tc>
          <w:tcPr>
            <w:tcW w:w="3893" w:type="dxa"/>
            <w:vAlign w:val="center"/>
          </w:tcPr>
          <w:p>
            <w:pPr>
              <w:autoSpaceDE w:val="0"/>
              <w:autoSpaceDN w:val="0"/>
              <w:adjustRightInd w:val="0"/>
              <w:ind w:right="-20"/>
              <w:jc w:val="center"/>
              <w:rPr>
                <w:rFonts w:hint="eastAsia" w:asciiTheme="minorEastAsia" w:hAnsiTheme="minorEastAsia" w:eastAsiaTheme="minorEastAsia" w:cstheme="minorEastAsia"/>
                <w:b w:val="0"/>
                <w:bCs w:val="0"/>
                <w:spacing w:val="-1"/>
                <w:kern w:val="0"/>
                <w:sz w:val="21"/>
                <w:szCs w:val="21"/>
              </w:rPr>
            </w:pPr>
            <w:r>
              <w:rPr>
                <w:rFonts w:hint="eastAsia" w:asciiTheme="minorEastAsia" w:hAnsiTheme="minorEastAsia" w:eastAsiaTheme="minorEastAsia" w:cstheme="minorEastAsia"/>
                <w:b w:val="0"/>
                <w:bCs w:val="0"/>
                <w:spacing w:val="-1"/>
                <w:kern w:val="0"/>
                <w:sz w:val="21"/>
                <w:szCs w:val="21"/>
              </w:rPr>
              <w:t>AA+：83</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分（含）-85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分（不含）</w:t>
            </w:r>
          </w:p>
        </w:tc>
        <w:tc>
          <w:tcPr>
            <w:tcW w:w="4369"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r>
              <w:rPr>
                <w:rFonts w:hint="eastAsia" w:asciiTheme="minorEastAsia" w:hAnsiTheme="minorEastAsia" w:eastAsiaTheme="minorEastAsia" w:cstheme="minorEastAsia"/>
                <w:b w:val="0"/>
                <w:bCs w:val="0"/>
                <w:kern w:val="0"/>
                <w:position w:val="-2"/>
                <w:sz w:val="21"/>
                <w:szCs w:val="21"/>
              </w:rPr>
              <w:t>信用意识强，严格遵守相关法律法规，自觉履行企业社会责任，各领域公共信用记录好。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817" w:type="dxa"/>
            <w:vMerge w:val="continue"/>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p>
        </w:tc>
        <w:tc>
          <w:tcPr>
            <w:tcW w:w="3893" w:type="dxa"/>
            <w:vAlign w:val="center"/>
          </w:tcPr>
          <w:p>
            <w:pPr>
              <w:autoSpaceDE w:val="0"/>
              <w:autoSpaceDN w:val="0"/>
              <w:adjustRightInd w:val="0"/>
              <w:ind w:right="-20"/>
              <w:jc w:val="center"/>
              <w:rPr>
                <w:rFonts w:hint="eastAsia" w:asciiTheme="minorEastAsia" w:hAnsiTheme="minorEastAsia" w:eastAsiaTheme="minorEastAsia" w:cstheme="minorEastAsia"/>
                <w:b w:val="0"/>
                <w:bCs w:val="0"/>
                <w:spacing w:val="-1"/>
                <w:kern w:val="0"/>
                <w:sz w:val="21"/>
                <w:szCs w:val="21"/>
              </w:rPr>
            </w:pPr>
            <w:r>
              <w:rPr>
                <w:rFonts w:hint="eastAsia" w:asciiTheme="minorEastAsia" w:hAnsiTheme="minorEastAsia" w:eastAsiaTheme="minorEastAsia" w:cstheme="minorEastAsia"/>
                <w:b w:val="0"/>
                <w:bCs w:val="0"/>
                <w:spacing w:val="-1"/>
                <w:kern w:val="0"/>
                <w:sz w:val="21"/>
                <w:szCs w:val="21"/>
              </w:rPr>
              <w:t>AA：79</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分（含）-83</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分（不含）</w:t>
            </w:r>
          </w:p>
        </w:tc>
        <w:tc>
          <w:tcPr>
            <w:tcW w:w="436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817" w:type="dxa"/>
            <w:vMerge w:val="continue"/>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p>
        </w:tc>
        <w:tc>
          <w:tcPr>
            <w:tcW w:w="3893" w:type="dxa"/>
            <w:vAlign w:val="center"/>
          </w:tcPr>
          <w:p>
            <w:pPr>
              <w:autoSpaceDE w:val="0"/>
              <w:autoSpaceDN w:val="0"/>
              <w:adjustRightInd w:val="0"/>
              <w:ind w:right="-20"/>
              <w:jc w:val="center"/>
              <w:rPr>
                <w:rFonts w:hint="eastAsia" w:asciiTheme="minorEastAsia" w:hAnsiTheme="minorEastAsia" w:eastAsiaTheme="minorEastAsia" w:cstheme="minorEastAsia"/>
                <w:b w:val="0"/>
                <w:bCs w:val="0"/>
                <w:spacing w:val="-1"/>
                <w:kern w:val="0"/>
                <w:sz w:val="21"/>
                <w:szCs w:val="21"/>
              </w:rPr>
            </w:pPr>
            <w:r>
              <w:rPr>
                <w:rFonts w:hint="eastAsia" w:asciiTheme="minorEastAsia" w:hAnsiTheme="minorEastAsia" w:eastAsiaTheme="minorEastAsia" w:cstheme="minorEastAsia"/>
                <w:b w:val="0"/>
                <w:bCs w:val="0"/>
                <w:spacing w:val="-1"/>
                <w:kern w:val="0"/>
                <w:sz w:val="21"/>
                <w:szCs w:val="21"/>
              </w:rPr>
              <w:t>AA-：75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分（含）-79</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分（不含）</w:t>
            </w:r>
          </w:p>
        </w:tc>
        <w:tc>
          <w:tcPr>
            <w:tcW w:w="436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817" w:type="dxa"/>
            <w:vMerge w:val="restart"/>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A</w:t>
            </w:r>
          </w:p>
        </w:tc>
        <w:tc>
          <w:tcPr>
            <w:tcW w:w="3893" w:type="dxa"/>
            <w:vAlign w:val="center"/>
          </w:tcPr>
          <w:p>
            <w:pPr>
              <w:autoSpaceDE w:val="0"/>
              <w:autoSpaceDN w:val="0"/>
              <w:adjustRightInd w:val="0"/>
              <w:ind w:right="-20"/>
              <w:jc w:val="center"/>
              <w:rPr>
                <w:rFonts w:hint="eastAsia" w:asciiTheme="minorEastAsia" w:hAnsiTheme="minorEastAsia" w:eastAsiaTheme="minorEastAsia" w:cstheme="minorEastAsia"/>
                <w:b w:val="0"/>
                <w:bCs w:val="0"/>
                <w:spacing w:val="-1"/>
                <w:kern w:val="0"/>
                <w:sz w:val="21"/>
                <w:szCs w:val="21"/>
              </w:rPr>
            </w:pPr>
            <w:r>
              <w:rPr>
                <w:rFonts w:hint="eastAsia" w:asciiTheme="minorEastAsia" w:hAnsiTheme="minorEastAsia" w:eastAsiaTheme="minorEastAsia" w:cstheme="minorEastAsia"/>
                <w:b w:val="0"/>
                <w:bCs w:val="0"/>
                <w:spacing w:val="-1"/>
                <w:kern w:val="0"/>
                <w:sz w:val="21"/>
                <w:szCs w:val="21"/>
              </w:rPr>
              <w:t>A+：73</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分（含）-75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分（不含）</w:t>
            </w:r>
          </w:p>
        </w:tc>
        <w:tc>
          <w:tcPr>
            <w:tcW w:w="4369"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r>
              <w:rPr>
                <w:rFonts w:hint="eastAsia" w:asciiTheme="minorEastAsia" w:hAnsiTheme="minorEastAsia" w:eastAsiaTheme="minorEastAsia" w:cstheme="minorEastAsia"/>
                <w:b w:val="0"/>
                <w:bCs w:val="0"/>
                <w:kern w:val="0"/>
                <w:position w:val="-2"/>
                <w:sz w:val="21"/>
                <w:szCs w:val="21"/>
              </w:rPr>
              <w:t>信用意识较强，遵守相关法律法规，自觉履行企业社会责任，各领域公共信用记录较好。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817" w:type="dxa"/>
            <w:vMerge w:val="continue"/>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p>
        </w:tc>
        <w:tc>
          <w:tcPr>
            <w:tcW w:w="3893" w:type="dxa"/>
            <w:vAlign w:val="center"/>
          </w:tcPr>
          <w:p>
            <w:pPr>
              <w:autoSpaceDE w:val="0"/>
              <w:autoSpaceDN w:val="0"/>
              <w:adjustRightInd w:val="0"/>
              <w:ind w:right="-20"/>
              <w:jc w:val="center"/>
              <w:rPr>
                <w:rFonts w:hint="eastAsia" w:asciiTheme="minorEastAsia" w:hAnsiTheme="minorEastAsia" w:eastAsiaTheme="minorEastAsia" w:cstheme="minorEastAsia"/>
                <w:b w:val="0"/>
                <w:bCs w:val="0"/>
                <w:spacing w:val="-1"/>
                <w:kern w:val="0"/>
                <w:sz w:val="21"/>
                <w:szCs w:val="21"/>
              </w:rPr>
            </w:pPr>
            <w:r>
              <w:rPr>
                <w:rFonts w:hint="eastAsia" w:asciiTheme="minorEastAsia" w:hAnsiTheme="minorEastAsia" w:eastAsiaTheme="minorEastAsia" w:cstheme="minorEastAsia"/>
                <w:b w:val="0"/>
                <w:bCs w:val="0"/>
                <w:spacing w:val="-1"/>
                <w:kern w:val="0"/>
                <w:sz w:val="21"/>
                <w:szCs w:val="21"/>
              </w:rPr>
              <w:t>A：69</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分（含）-73</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分（不含）</w:t>
            </w:r>
          </w:p>
        </w:tc>
        <w:tc>
          <w:tcPr>
            <w:tcW w:w="436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817" w:type="dxa"/>
            <w:vMerge w:val="continue"/>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p>
        </w:tc>
        <w:tc>
          <w:tcPr>
            <w:tcW w:w="3893" w:type="dxa"/>
            <w:vAlign w:val="center"/>
          </w:tcPr>
          <w:p>
            <w:pPr>
              <w:autoSpaceDE w:val="0"/>
              <w:autoSpaceDN w:val="0"/>
              <w:adjustRightInd w:val="0"/>
              <w:ind w:right="-20"/>
              <w:jc w:val="center"/>
              <w:rPr>
                <w:rFonts w:hint="eastAsia" w:asciiTheme="minorEastAsia" w:hAnsiTheme="minorEastAsia" w:eastAsiaTheme="minorEastAsia" w:cstheme="minorEastAsia"/>
                <w:b w:val="0"/>
                <w:bCs w:val="0"/>
                <w:spacing w:val="-1"/>
                <w:kern w:val="0"/>
                <w:sz w:val="21"/>
                <w:szCs w:val="21"/>
              </w:rPr>
            </w:pPr>
            <w:r>
              <w:rPr>
                <w:rFonts w:hint="eastAsia" w:asciiTheme="minorEastAsia" w:hAnsiTheme="minorEastAsia" w:eastAsiaTheme="minorEastAsia" w:cstheme="minorEastAsia"/>
                <w:b w:val="0"/>
                <w:bCs w:val="0"/>
                <w:spacing w:val="-1"/>
                <w:kern w:val="0"/>
                <w:sz w:val="21"/>
                <w:szCs w:val="21"/>
              </w:rPr>
              <w:t>A-：65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分（含）-69</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分（不含）</w:t>
            </w:r>
          </w:p>
        </w:tc>
        <w:tc>
          <w:tcPr>
            <w:tcW w:w="436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817" w:type="dxa"/>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BBB</w:t>
            </w:r>
          </w:p>
        </w:tc>
        <w:tc>
          <w:tcPr>
            <w:tcW w:w="3893" w:type="dxa"/>
            <w:vAlign w:val="center"/>
          </w:tcPr>
          <w:p>
            <w:pPr>
              <w:autoSpaceDE w:val="0"/>
              <w:autoSpaceDN w:val="0"/>
              <w:adjustRightInd w:val="0"/>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spacing w:val="-1"/>
                <w:kern w:val="0"/>
                <w:sz w:val="21"/>
                <w:szCs w:val="21"/>
              </w:rPr>
              <w:t>55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分（含）至65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分（不含）</w:t>
            </w:r>
          </w:p>
        </w:tc>
        <w:tc>
          <w:tcPr>
            <w:tcW w:w="4369" w:type="dxa"/>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r>
              <w:rPr>
                <w:rFonts w:hint="eastAsia" w:asciiTheme="minorEastAsia" w:hAnsiTheme="minorEastAsia" w:eastAsiaTheme="minorEastAsia" w:cstheme="minorEastAsia"/>
                <w:b w:val="0"/>
                <w:bCs w:val="0"/>
                <w:kern w:val="0"/>
                <w:position w:val="-2"/>
                <w:sz w:val="21"/>
                <w:szCs w:val="21"/>
              </w:rPr>
              <w:t>信用意识一般，遵守相关法律法规，基本履行企业社会责任，各领域公共信用记录一般。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jc w:val="center"/>
        </w:trPr>
        <w:tc>
          <w:tcPr>
            <w:tcW w:w="817" w:type="dxa"/>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BB</w:t>
            </w:r>
          </w:p>
        </w:tc>
        <w:tc>
          <w:tcPr>
            <w:tcW w:w="3893" w:type="dxa"/>
            <w:vAlign w:val="center"/>
          </w:tcPr>
          <w:p>
            <w:pPr>
              <w:autoSpaceDE w:val="0"/>
              <w:autoSpaceDN w:val="0"/>
              <w:adjustRightInd w:val="0"/>
              <w:spacing w:before="79"/>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spacing w:val="-1"/>
                <w:kern w:val="0"/>
                <w:sz w:val="21"/>
                <w:szCs w:val="21"/>
              </w:rPr>
              <w:t>45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分（含）至55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分（不含）</w:t>
            </w:r>
          </w:p>
        </w:tc>
        <w:tc>
          <w:tcPr>
            <w:tcW w:w="4369" w:type="dxa"/>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r>
              <w:rPr>
                <w:rFonts w:hint="eastAsia" w:asciiTheme="minorEastAsia" w:hAnsiTheme="minorEastAsia" w:eastAsiaTheme="minorEastAsia" w:cstheme="minorEastAsia"/>
                <w:b w:val="0"/>
                <w:bCs w:val="0"/>
                <w:kern w:val="0"/>
                <w:position w:val="-2"/>
                <w:sz w:val="21"/>
                <w:szCs w:val="21"/>
              </w:rPr>
              <w:t>信用意识较差，能够遵守相关法律法规，企业社会责任履行情况一般，在个别领域有轻微不良信用记录。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817" w:type="dxa"/>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B</w:t>
            </w:r>
          </w:p>
        </w:tc>
        <w:tc>
          <w:tcPr>
            <w:tcW w:w="3893" w:type="dxa"/>
            <w:vAlign w:val="center"/>
          </w:tcPr>
          <w:p>
            <w:pPr>
              <w:autoSpaceDE w:val="0"/>
              <w:autoSpaceDN w:val="0"/>
              <w:adjustRightInd w:val="0"/>
              <w:spacing w:before="79"/>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spacing w:val="-1"/>
                <w:kern w:val="0"/>
                <w:sz w:val="21"/>
                <w:szCs w:val="21"/>
              </w:rPr>
              <w:t>35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分（含）至45</w:t>
            </w:r>
            <w:r>
              <w:rPr>
                <w:rFonts w:hint="eastAsia" w:asciiTheme="minorEastAsia" w:hAnsiTheme="minorEastAsia" w:eastAsiaTheme="minorEastAsia" w:cstheme="minorEastAsia"/>
                <w:b w:val="0"/>
                <w:bCs w:val="0"/>
                <w:spacing w:val="-1"/>
                <w:kern w:val="0"/>
                <w:sz w:val="21"/>
                <w:szCs w:val="21"/>
                <w:lang w:val="en-US" w:eastAsia="zh-CN"/>
              </w:rPr>
              <w:t>0</w:t>
            </w:r>
            <w:r>
              <w:rPr>
                <w:rFonts w:hint="eastAsia" w:asciiTheme="minorEastAsia" w:hAnsiTheme="minorEastAsia" w:eastAsiaTheme="minorEastAsia" w:cstheme="minorEastAsia"/>
                <w:b w:val="0"/>
                <w:bCs w:val="0"/>
                <w:spacing w:val="-1"/>
                <w:kern w:val="0"/>
                <w:sz w:val="21"/>
                <w:szCs w:val="21"/>
              </w:rPr>
              <w:t>分（不含）</w:t>
            </w:r>
          </w:p>
        </w:tc>
        <w:tc>
          <w:tcPr>
            <w:tcW w:w="4369" w:type="dxa"/>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r>
              <w:rPr>
                <w:rFonts w:hint="eastAsia" w:asciiTheme="minorEastAsia" w:hAnsiTheme="minorEastAsia" w:eastAsiaTheme="minorEastAsia" w:cstheme="minorEastAsia"/>
                <w:b w:val="0"/>
                <w:bCs w:val="0"/>
                <w:kern w:val="0"/>
                <w:position w:val="-2"/>
                <w:sz w:val="21"/>
                <w:szCs w:val="21"/>
              </w:rPr>
              <w:t>信用意识差，能够遵守相关法律法规，企业社会责任履行情况较差，在个别领域有不良信用记录。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817" w:type="dxa"/>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C</w:t>
            </w:r>
          </w:p>
        </w:tc>
        <w:tc>
          <w:tcPr>
            <w:tcW w:w="3893" w:type="dxa"/>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35</w:t>
            </w:r>
            <w:r>
              <w:rPr>
                <w:rFonts w:hint="eastAsia" w:asciiTheme="minorEastAsia" w:hAnsiTheme="minorEastAsia" w:eastAsiaTheme="minorEastAsia" w:cstheme="minorEastAsia"/>
                <w:b w:val="0"/>
                <w:bCs w:val="0"/>
                <w:kern w:val="0"/>
                <w:sz w:val="21"/>
                <w:szCs w:val="21"/>
                <w:lang w:val="en-US" w:eastAsia="zh-CN"/>
              </w:rPr>
              <w:t>0</w:t>
            </w:r>
            <w:r>
              <w:rPr>
                <w:rFonts w:hint="eastAsia" w:asciiTheme="minorEastAsia" w:hAnsiTheme="minorEastAsia" w:eastAsiaTheme="minorEastAsia" w:cstheme="minorEastAsia"/>
                <w:b w:val="0"/>
                <w:bCs w:val="0"/>
                <w:kern w:val="0"/>
                <w:sz w:val="21"/>
                <w:szCs w:val="21"/>
              </w:rPr>
              <w:t>分以下</w:t>
            </w:r>
          </w:p>
        </w:tc>
        <w:tc>
          <w:tcPr>
            <w:tcW w:w="4369" w:type="dxa"/>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r>
              <w:rPr>
                <w:rFonts w:hint="eastAsia" w:asciiTheme="minorEastAsia" w:hAnsiTheme="minorEastAsia" w:eastAsiaTheme="minorEastAsia" w:cstheme="minorEastAsia"/>
                <w:b w:val="0"/>
                <w:bCs w:val="0"/>
                <w:kern w:val="0"/>
                <w:position w:val="-2"/>
                <w:sz w:val="21"/>
                <w:szCs w:val="21"/>
              </w:rPr>
              <w:t>信用意识缺失，有</w:t>
            </w:r>
            <w:r>
              <w:rPr>
                <w:rFonts w:hint="eastAsia" w:asciiTheme="minorEastAsia" w:hAnsiTheme="minorEastAsia" w:eastAsiaTheme="minorEastAsia" w:cstheme="minorEastAsia"/>
                <w:b w:val="0"/>
                <w:bCs w:val="0"/>
                <w:kern w:val="0"/>
                <w:position w:val="-2"/>
                <w:sz w:val="21"/>
                <w:szCs w:val="21"/>
                <w:lang w:eastAsia="zh-CN"/>
              </w:rPr>
              <w:t>违反</w:t>
            </w:r>
            <w:r>
              <w:rPr>
                <w:rFonts w:hint="eastAsia" w:asciiTheme="minorEastAsia" w:hAnsiTheme="minorEastAsia" w:eastAsiaTheme="minorEastAsia" w:cstheme="minorEastAsia"/>
                <w:b w:val="0"/>
                <w:bCs w:val="0"/>
                <w:kern w:val="0"/>
                <w:position w:val="-2"/>
                <w:sz w:val="21"/>
                <w:szCs w:val="21"/>
              </w:rPr>
              <w:t>相关法律法规的现象，不能履行企业社会责任，在多个领域有不良信用记录。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817" w:type="dxa"/>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D</w:t>
            </w:r>
          </w:p>
        </w:tc>
        <w:tc>
          <w:tcPr>
            <w:tcW w:w="3893" w:type="dxa"/>
            <w:vAlign w:val="center"/>
          </w:tcPr>
          <w:p>
            <w:pPr>
              <w:autoSpaceDE w:val="0"/>
              <w:autoSpaceDN w:val="0"/>
              <w:adjustRightInd w:val="0"/>
              <w:spacing w:before="76"/>
              <w:ind w:right="-20"/>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spacing w:val="-1"/>
                <w:kern w:val="0"/>
                <w:sz w:val="21"/>
                <w:szCs w:val="21"/>
              </w:rPr>
              <w:t>-</w:t>
            </w:r>
          </w:p>
        </w:tc>
        <w:tc>
          <w:tcPr>
            <w:tcW w:w="4369" w:type="dxa"/>
            <w:vAlign w:val="center"/>
          </w:tcPr>
          <w:p>
            <w:pPr>
              <w:keepNext w:val="0"/>
              <w:keepLines w:val="0"/>
              <w:pageBreakBefore w:val="0"/>
              <w:widowControl w:val="0"/>
              <w:kinsoku/>
              <w:wordWrap/>
              <w:overflowPunct/>
              <w:topLinePunct w:val="0"/>
              <w:autoSpaceDE w:val="0"/>
              <w:autoSpaceDN w:val="0"/>
              <w:bidi w:val="0"/>
              <w:adjustRightInd w:val="0"/>
              <w:snapToGrid/>
              <w:spacing w:before="2"/>
              <w:ind w:left="102" w:right="-23"/>
              <w:jc w:val="center"/>
              <w:textAlignment w:val="auto"/>
              <w:rPr>
                <w:rFonts w:hint="eastAsia" w:asciiTheme="minorEastAsia" w:hAnsiTheme="minorEastAsia" w:eastAsiaTheme="minorEastAsia" w:cstheme="minorEastAsia"/>
                <w:b w:val="0"/>
                <w:bCs w:val="0"/>
                <w:kern w:val="0"/>
                <w:position w:val="-2"/>
                <w:sz w:val="21"/>
                <w:szCs w:val="21"/>
              </w:rPr>
            </w:pPr>
            <w:r>
              <w:rPr>
                <w:rFonts w:hint="eastAsia" w:asciiTheme="minorEastAsia" w:hAnsiTheme="minorEastAsia" w:eastAsiaTheme="minorEastAsia" w:cstheme="minorEastAsia"/>
                <w:b w:val="0"/>
                <w:bCs w:val="0"/>
                <w:kern w:val="0"/>
                <w:position w:val="-2"/>
                <w:sz w:val="21"/>
                <w:szCs w:val="21"/>
              </w:rPr>
              <w:t>信用意识极度缺失，濒临倒闭、被吊销执照或严重失信。</w:t>
            </w:r>
          </w:p>
        </w:tc>
      </w:tr>
    </w:tbl>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43" w:name="_Toc15232"/>
      <w:r>
        <w:rPr>
          <w:rFonts w:hint="eastAsia" w:ascii="黑体" w:hAnsi="黑体" w:eastAsia="黑体" w:cs="黑体"/>
          <w:kern w:val="2"/>
          <w:sz w:val="21"/>
          <w:szCs w:val="24"/>
          <w:highlight w:val="none"/>
          <w:lang w:val="en-US" w:eastAsia="zh-CN" w:bidi="ar-SA"/>
        </w:rPr>
        <w:t>7.2</w:t>
      </w:r>
      <w:r>
        <w:rPr>
          <w:rFonts w:hint="eastAsia" w:ascii="Times New Roman" w:hAnsi="Times New Roman" w:eastAsia="黑体" w:cs="黑体"/>
          <w:highlight w:val="none"/>
          <w:lang w:val="en-US" w:eastAsia="zh-CN"/>
        </w:rPr>
        <w:t xml:space="preserve"> 等级调整</w:t>
      </w:r>
      <w:bookmarkEnd w:id="43"/>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a）企业被有关国家机关纳入41类严重失信主体名单信息的，直接判定为D级：</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失信被执行人名单；2.政府采购严重违法失信行为记录名单；3.履行国防义务严重失信主体名单；4.拖欠农民工工资失信联合惩戒对象名单；5.市场监督管理严重违法失信名单；6.市场监督管理严重违法失信名单（食品安全严重违法生产经营者黑名单）；7.运输物流行业严重失信黑名单；8.危害残疾儿童康复救助权益严重失信主体名单；9.重大税收违法失信主体名单；10.统计严重失信企业名单；11.社会救助领域信用黑名单；12.保障性住房（公租房）使用领域信用黑名单；13.网络信用黑名单；14.电信网络诈骗严重失信主体名单；15.文化和旅游市场严重失信主体名单；16.建筑市场主体黑名单；17.工程建设领域黑名单；18.物业服务企业黑名单；19.信息消费领域企业黑名单；20.城市轨道交通领域黑名单；21.严重违法超限超载运输当事人名单；22.价格失信者黑名单；23.环境违法企业黑名单；24.医疗保障领域失信联合惩戒对象名单；25.医疗卫生行业黑名单；26.医药行业失信企业黑名单；27.社会组织严重违法失信名单；28.知识产权领域严重违法失信名单；29.学术期刊黑名单；30.职称申报评审失信黑名单；31.安全生产严重失信主体名单；32.消防安全领域黑名单；33.校外培训机构黑名单；34.公共资源配置黑名单；35.矿业权人严重失信名单；36.地质勘查单位黑名单；37.注册会计师行业严重失信主体名单；38.社会保险领域严重失信主体名单；39.快递领域黑名单；40.进出口海关监管领域严重失信主体名单；41.境外投资黑名单；</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b）企业被处暂扣或者吊销许可证件、限制开展生产经营活动、责令停产停业、责令关闭等行政处罚的，直接判定为D级；</w:t>
      </w:r>
    </w:p>
    <w:p>
      <w:pPr>
        <w:pStyle w:val="10"/>
        <w:keepNext w:val="0"/>
        <w:keepLines w:val="0"/>
        <w:pageBreakBefore w:val="0"/>
        <w:widowControl w:val="0"/>
        <w:kinsoku/>
        <w:wordWrap/>
        <w:overflowPunct/>
        <w:topLinePunct w:val="0"/>
        <w:autoSpaceDE/>
        <w:autoSpaceDN/>
        <w:bidi w:val="0"/>
        <w:adjustRightInd/>
        <w:snapToGrid/>
        <w:spacing w:after="313" w:afterLines="100" w:line="360" w:lineRule="auto"/>
        <w:ind w:left="108" w:firstLine="420" w:firstLineChars="200"/>
        <w:jc w:val="both"/>
        <w:textAlignment w:val="auto"/>
        <w:rPr>
          <w:rFonts w:hint="eastAsia" w:ascii="Times New Roman" w:hAnsi="Times New Roman"/>
          <w:highlight w:val="none"/>
          <w:lang w:val="en-US" w:eastAsia="zh-CN"/>
        </w:rPr>
      </w:pPr>
      <w:r>
        <w:rPr>
          <w:rFonts w:hint="eastAsia" w:asciiTheme="minorEastAsia" w:hAnsiTheme="minorEastAsia" w:eastAsiaTheme="minorEastAsia" w:cstheme="minorEastAsia"/>
          <w:highlight w:val="none"/>
          <w:lang w:val="en-US" w:eastAsia="zh-CN"/>
        </w:rPr>
        <w:t>c）企业有发生重大安全生产责任事故等违法经营行为受到刑事处罚的，直接判定为D级。</w:t>
      </w:r>
    </w:p>
    <w:p>
      <w:pPr>
        <w:pStyle w:val="10"/>
        <w:keepNext w:val="0"/>
        <w:keepLines w:val="0"/>
        <w:pageBreakBefore w:val="0"/>
        <w:widowControl w:val="0"/>
        <w:kinsoku/>
        <w:wordWrap/>
        <w:overflowPunct/>
        <w:topLinePunct w:val="0"/>
        <w:autoSpaceDE/>
        <w:autoSpaceDN/>
        <w:bidi w:val="0"/>
        <w:adjustRightInd/>
        <w:snapToGrid/>
        <w:spacing w:after="320" w:afterLines="100"/>
        <w:ind w:left="108"/>
        <w:jc w:val="both"/>
        <w:textAlignment w:val="auto"/>
        <w:outlineLvl w:val="0"/>
        <w:rPr>
          <w:rFonts w:hint="default" w:ascii="Times New Roman" w:hAnsi="Times New Roman" w:eastAsia="黑体" w:cs="黑体"/>
          <w:highlight w:val="none"/>
          <w:lang w:val="en-US" w:eastAsia="zh-CN"/>
        </w:rPr>
      </w:pPr>
      <w:bookmarkStart w:id="44" w:name="_Toc1896"/>
      <w:bookmarkStart w:id="45" w:name="_Toc28104"/>
      <w:r>
        <w:rPr>
          <w:rFonts w:hint="eastAsia" w:ascii="黑体" w:hAnsi="黑体" w:eastAsia="黑体" w:cs="黑体"/>
          <w:kern w:val="2"/>
          <w:sz w:val="21"/>
          <w:szCs w:val="24"/>
          <w:highlight w:val="none"/>
          <w:lang w:val="en-US" w:eastAsia="zh-CN" w:bidi="ar-SA"/>
        </w:rPr>
        <w:t>8</w:t>
      </w:r>
      <w:r>
        <w:rPr>
          <w:rFonts w:hint="eastAsia" w:ascii="Times New Roman" w:hAnsi="Times New Roman" w:eastAsia="黑体" w:cs="黑体"/>
          <w:highlight w:val="none"/>
          <w:lang w:val="en-US" w:eastAsia="zh-CN"/>
        </w:rPr>
        <w:t xml:space="preserve">  </w:t>
      </w:r>
      <w:bookmarkEnd w:id="44"/>
      <w:r>
        <w:rPr>
          <w:rFonts w:hint="eastAsia" w:ascii="Times New Roman" w:hAnsi="Times New Roman" w:eastAsia="黑体" w:cs="黑体"/>
          <w:highlight w:val="none"/>
          <w:lang w:val="en-US" w:eastAsia="zh-CN"/>
        </w:rPr>
        <w:t>评价结果</w:t>
      </w:r>
      <w:bookmarkEnd w:id="45"/>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46" w:name="_Toc22603"/>
      <w:bookmarkStart w:id="47" w:name="_Toc27519"/>
      <w:bookmarkStart w:id="48" w:name="_Toc14009"/>
      <w:r>
        <w:rPr>
          <w:rFonts w:hint="eastAsia" w:ascii="黑体" w:hAnsi="黑体" w:eastAsia="黑体" w:cs="黑体"/>
          <w:kern w:val="2"/>
          <w:sz w:val="21"/>
          <w:szCs w:val="24"/>
          <w:highlight w:val="none"/>
          <w:lang w:val="en-US" w:eastAsia="zh-CN" w:bidi="ar-SA"/>
        </w:rPr>
        <w:t>8.1</w:t>
      </w:r>
      <w:r>
        <w:rPr>
          <w:rFonts w:hint="eastAsia" w:ascii="Times New Roman" w:hAnsi="Times New Roman" w:eastAsia="黑体" w:cs="黑体"/>
          <w:highlight w:val="none"/>
          <w:lang w:val="en-US" w:eastAsia="zh-CN"/>
        </w:rPr>
        <w:t xml:space="preserve"> 评价报告</w:t>
      </w:r>
      <w:bookmarkEnd w:id="46"/>
      <w:bookmarkEnd w:id="47"/>
      <w:bookmarkEnd w:id="48"/>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应编制信用评价报告，报告内容应符</w:t>
      </w:r>
      <w:r>
        <w:rPr>
          <w:rFonts w:hint="eastAsia" w:ascii="Times New Roman" w:hAnsi="Times New Roman" w:eastAsia="宋体" w:cs="宋体"/>
          <w:highlight w:val="none"/>
          <w:lang w:val="en-US" w:eastAsia="zh-CN"/>
        </w:rPr>
        <w:t>合附录</w:t>
      </w:r>
      <w:r>
        <w:rPr>
          <w:rFonts w:hint="eastAsia" w:asciiTheme="minorEastAsia" w:hAnsiTheme="minorEastAsia" w:eastAsiaTheme="minorEastAsia" w:cstheme="minorEastAsia"/>
          <w:highlight w:val="none"/>
          <w:lang w:val="en-US" w:eastAsia="zh-CN"/>
        </w:rPr>
        <w:t>B的</w:t>
      </w:r>
      <w:r>
        <w:rPr>
          <w:rFonts w:hint="eastAsia" w:ascii="Times New Roman" w:hAnsi="Times New Roman"/>
          <w:highlight w:val="none"/>
          <w:lang w:val="en-US" w:eastAsia="zh-CN"/>
        </w:rPr>
        <w:t>要求。</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49" w:name="_Toc14910"/>
      <w:bookmarkStart w:id="50" w:name="_Toc12574"/>
      <w:bookmarkStart w:id="51" w:name="_Toc2432"/>
      <w:r>
        <w:rPr>
          <w:rFonts w:hint="eastAsia" w:ascii="黑体" w:hAnsi="黑体" w:eastAsia="黑体" w:cs="黑体"/>
          <w:kern w:val="2"/>
          <w:sz w:val="21"/>
          <w:szCs w:val="24"/>
          <w:highlight w:val="none"/>
          <w:lang w:val="en-US" w:eastAsia="zh-CN" w:bidi="ar-SA"/>
        </w:rPr>
        <w:t>8.2</w:t>
      </w:r>
      <w:r>
        <w:rPr>
          <w:rFonts w:hint="eastAsia" w:ascii="Times New Roman" w:hAnsi="Times New Roman" w:eastAsia="黑体" w:cs="黑体"/>
          <w:highlight w:val="none"/>
          <w:lang w:val="en-US" w:eastAsia="zh-CN"/>
        </w:rPr>
        <w:t xml:space="preserve"> 结果公开</w:t>
      </w:r>
      <w:bookmarkEnd w:id="49"/>
      <w:bookmarkEnd w:id="50"/>
      <w:bookmarkEnd w:id="51"/>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评价结果在四川省医药行业协会官网、重庆医药行业协会官网、四川省医药行业信用平台公开。</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outlineLvl w:val="1"/>
        <w:rPr>
          <w:rFonts w:hint="eastAsia" w:ascii="Times New Roman" w:hAnsi="Times New Roman" w:eastAsia="黑体" w:cs="黑体"/>
          <w:highlight w:val="none"/>
          <w:lang w:val="en-US" w:eastAsia="zh-CN"/>
        </w:rPr>
      </w:pPr>
      <w:bookmarkStart w:id="52" w:name="_Toc18500"/>
      <w:bookmarkStart w:id="53" w:name="_Toc29770"/>
      <w:bookmarkStart w:id="54" w:name="_Toc1143"/>
      <w:r>
        <w:rPr>
          <w:rFonts w:hint="eastAsia" w:ascii="黑体" w:hAnsi="黑体" w:eastAsia="黑体" w:cs="黑体"/>
          <w:kern w:val="2"/>
          <w:sz w:val="21"/>
          <w:szCs w:val="24"/>
          <w:highlight w:val="none"/>
          <w:lang w:val="en-US" w:eastAsia="zh-CN" w:bidi="ar-SA"/>
        </w:rPr>
        <w:t>8.3</w:t>
      </w:r>
      <w:r>
        <w:rPr>
          <w:rFonts w:hint="eastAsia" w:ascii="Times New Roman" w:hAnsi="Times New Roman" w:eastAsia="黑体" w:cs="黑体"/>
          <w:highlight w:val="none"/>
          <w:lang w:val="en-US" w:eastAsia="zh-CN"/>
        </w:rPr>
        <w:t xml:space="preserve"> 结果应用</w:t>
      </w:r>
      <w:bookmarkEnd w:id="52"/>
      <w:bookmarkEnd w:id="53"/>
      <w:bookmarkEnd w:id="54"/>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rPr>
          <w:rFonts w:hint="eastAsia" w:ascii="Times New Roman" w:hAnsi="Times New Roman"/>
          <w:highlight w:val="none"/>
          <w:lang w:val="en-US" w:eastAsia="zh-CN"/>
        </w:rPr>
      </w:pPr>
      <w:r>
        <w:rPr>
          <w:rFonts w:hint="eastAsia" w:ascii="黑体" w:hAnsi="黑体" w:eastAsia="黑体" w:cs="黑体"/>
          <w:kern w:val="2"/>
          <w:sz w:val="21"/>
          <w:szCs w:val="24"/>
          <w:highlight w:val="none"/>
          <w:lang w:val="en-US" w:eastAsia="zh-CN" w:bidi="ar-SA"/>
        </w:rPr>
        <w:t>8</w:t>
      </w:r>
      <w:r>
        <w:rPr>
          <w:rFonts w:hint="default" w:ascii="黑体" w:hAnsi="黑体" w:eastAsia="黑体" w:cs="黑体"/>
          <w:kern w:val="2"/>
          <w:sz w:val="21"/>
          <w:szCs w:val="24"/>
          <w:highlight w:val="none"/>
          <w:lang w:val="en-US" w:eastAsia="zh-CN" w:bidi="ar-SA"/>
        </w:rPr>
        <w:t>.3.1</w:t>
      </w:r>
      <w:r>
        <w:rPr>
          <w:rFonts w:hint="default" w:ascii="Times New Roman" w:hAnsi="Times New Roman"/>
          <w:highlight w:val="none"/>
          <w:lang w:val="en-US" w:eastAsia="zh-CN"/>
        </w:rPr>
        <w:t xml:space="preserve"> </w:t>
      </w:r>
      <w:r>
        <w:rPr>
          <w:rFonts w:hint="eastAsia" w:ascii="Times New Roman" w:hAnsi="Times New Roman"/>
          <w:highlight w:val="none"/>
          <w:lang w:val="en-US" w:eastAsia="zh-CN"/>
        </w:rPr>
        <w:t>将评价结果推荐给相关政府部门、行业组织，实现多部门联动共享，优质信用主体将在政府采购、招标投标、行政审批、市场准入、资质审核等行政管理事项中，获得相应的优惠政策支持；同时在政府部门开展信用建设工作时，评价结果将作为企业重点支持、政府资助、享受税收优惠的参考依据。</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rPr>
          <w:rFonts w:hint="eastAsia" w:ascii="Times New Roman" w:hAnsi="Times New Roman"/>
          <w:highlight w:val="none"/>
          <w:lang w:val="en-US" w:eastAsia="zh-CN"/>
        </w:rPr>
      </w:pPr>
      <w:r>
        <w:rPr>
          <w:rFonts w:hint="eastAsia" w:ascii="黑体" w:hAnsi="黑体" w:eastAsia="黑体" w:cs="黑体"/>
          <w:kern w:val="2"/>
          <w:sz w:val="21"/>
          <w:szCs w:val="24"/>
          <w:highlight w:val="none"/>
          <w:lang w:val="en-US" w:eastAsia="zh-CN" w:bidi="ar-SA"/>
        </w:rPr>
        <w:t>8</w:t>
      </w:r>
      <w:r>
        <w:rPr>
          <w:rFonts w:hint="default" w:ascii="黑体" w:hAnsi="黑体" w:eastAsia="黑体" w:cs="黑体"/>
          <w:kern w:val="2"/>
          <w:sz w:val="21"/>
          <w:szCs w:val="24"/>
          <w:highlight w:val="none"/>
          <w:lang w:val="en-US" w:eastAsia="zh-CN" w:bidi="ar-SA"/>
        </w:rPr>
        <w:t>.3.2</w:t>
      </w:r>
      <w:r>
        <w:rPr>
          <w:rFonts w:hint="default" w:ascii="Times New Roman" w:hAnsi="Times New Roman"/>
          <w:highlight w:val="none"/>
          <w:lang w:val="en-US" w:eastAsia="zh-CN"/>
        </w:rPr>
        <w:t xml:space="preserve"> </w:t>
      </w:r>
      <w:r>
        <w:rPr>
          <w:rFonts w:hint="eastAsia" w:ascii="Times New Roman" w:hAnsi="Times New Roman"/>
          <w:highlight w:val="none"/>
          <w:lang w:val="en-US" w:eastAsia="zh-CN"/>
        </w:rPr>
        <w:t>选择优质信用主体推送至相关金融机构和融资平台，为医药企业提供融资直通服务。</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rPr>
          <w:rFonts w:hint="default" w:ascii="Times New Roman" w:hAnsi="Times New Roman"/>
          <w:highlight w:val="none"/>
          <w:lang w:val="en-US" w:eastAsia="zh-CN"/>
        </w:rPr>
      </w:pPr>
      <w:r>
        <w:rPr>
          <w:rFonts w:hint="eastAsia" w:ascii="黑体" w:hAnsi="黑体" w:eastAsia="黑体" w:cs="黑体"/>
          <w:kern w:val="2"/>
          <w:sz w:val="21"/>
          <w:szCs w:val="24"/>
          <w:highlight w:val="none"/>
          <w:lang w:val="en-US" w:eastAsia="zh-CN" w:bidi="ar-SA"/>
        </w:rPr>
        <w:t>8</w:t>
      </w:r>
      <w:r>
        <w:rPr>
          <w:rFonts w:hint="default" w:ascii="黑体" w:hAnsi="黑体" w:eastAsia="黑体" w:cs="黑体"/>
          <w:kern w:val="2"/>
          <w:sz w:val="21"/>
          <w:szCs w:val="24"/>
          <w:highlight w:val="none"/>
          <w:lang w:val="en-US" w:eastAsia="zh-CN" w:bidi="ar-SA"/>
        </w:rPr>
        <w:t>.3.</w:t>
      </w:r>
      <w:r>
        <w:rPr>
          <w:rFonts w:hint="eastAsia" w:ascii="黑体" w:hAnsi="黑体" w:eastAsia="黑体" w:cs="黑体"/>
          <w:kern w:val="2"/>
          <w:sz w:val="21"/>
          <w:szCs w:val="24"/>
          <w:highlight w:val="none"/>
          <w:lang w:val="en-US" w:eastAsia="zh-CN" w:bidi="ar-SA"/>
        </w:rPr>
        <w:t>3</w:t>
      </w:r>
      <w:r>
        <w:rPr>
          <w:rFonts w:hint="eastAsia" w:ascii="Times New Roman" w:hAnsi="Times New Roman"/>
          <w:highlight w:val="none"/>
          <w:lang w:val="en-US" w:eastAsia="zh-CN"/>
        </w:rPr>
        <w:t xml:space="preserve"> 用于法律法规允许的形象宣传。如：在宣传材料、网页及报刊等传播媒介上使用评价标识和评价证书，帮助医药企业树立良好的社会形象。</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宋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s="宋体"/>
          <w:sz w:val="32"/>
          <w:szCs w:val="32"/>
        </w:rPr>
        <w:sectPr>
          <w:footerReference r:id="rId5" w:type="default"/>
          <w:pgSz w:w="11906" w:h="16838"/>
          <w:pgMar w:top="1800" w:right="1440" w:bottom="1800" w:left="1440" w:header="851" w:footer="992" w:gutter="0"/>
          <w:pgNumType w:fmt="decimal"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黑体" w:cs="黑体"/>
          <w:kern w:val="2"/>
          <w:sz w:val="21"/>
          <w:szCs w:val="21"/>
          <w:highlight w:val="none"/>
          <w:lang w:val="en-US" w:eastAsia="zh-CN" w:bidi="ar-SA"/>
        </w:rPr>
      </w:pPr>
      <w:bookmarkStart w:id="55" w:name="_Toc7652"/>
      <w:bookmarkStart w:id="56" w:name="_Toc29833"/>
      <w:r>
        <w:rPr>
          <w:rFonts w:hint="eastAsia" w:ascii="Times New Roman" w:hAnsi="Times New Roman" w:eastAsia="黑体" w:cs="黑体"/>
          <w:kern w:val="2"/>
          <w:sz w:val="21"/>
          <w:szCs w:val="21"/>
          <w:highlight w:val="none"/>
          <w:lang w:val="en-US" w:eastAsia="zh-CN" w:bidi="ar-SA"/>
        </w:rPr>
        <w:t>附录</w:t>
      </w:r>
      <w:r>
        <w:rPr>
          <w:rFonts w:hint="eastAsia" w:ascii="黑体" w:hAnsi="黑体" w:eastAsia="黑体" w:cs="黑体"/>
          <w:kern w:val="2"/>
          <w:sz w:val="21"/>
          <w:szCs w:val="21"/>
          <w:highlight w:val="none"/>
          <w:lang w:val="en-US" w:eastAsia="zh-CN" w:bidi="ar-SA"/>
        </w:rPr>
        <w:t>A</w:t>
      </w:r>
      <w:bookmarkEnd w:id="55"/>
      <w:bookmarkEnd w:id="56"/>
    </w:p>
    <w:p>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黑体" w:cs="黑体"/>
          <w:sz w:val="21"/>
          <w:szCs w:val="21"/>
          <w:highlight w:val="none"/>
          <w:lang w:val="en-US" w:eastAsia="zh-CN"/>
        </w:rPr>
      </w:pPr>
      <w:bookmarkStart w:id="57" w:name="_Toc17502"/>
      <w:bookmarkStart w:id="58" w:name="_Toc3069"/>
      <w:bookmarkStart w:id="59" w:name="_Toc29761"/>
      <w:r>
        <w:rPr>
          <w:rFonts w:hint="eastAsia" w:ascii="Times New Roman" w:hAnsi="Times New Roman" w:eastAsia="黑体" w:cs="黑体"/>
          <w:sz w:val="21"/>
          <w:szCs w:val="21"/>
          <w:highlight w:val="none"/>
          <w:lang w:val="en-US" w:eastAsia="zh-CN"/>
        </w:rPr>
        <w:t>（规范性）</w:t>
      </w:r>
      <w:bookmarkEnd w:id="57"/>
      <w:bookmarkEnd w:id="58"/>
      <w:bookmarkEnd w:id="59"/>
    </w:p>
    <w:p>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仿宋" w:cs="宋体"/>
          <w:sz w:val="32"/>
          <w:szCs w:val="32"/>
          <w:lang w:val="en-US" w:eastAsia="zh-CN"/>
        </w:rPr>
      </w:pPr>
      <w:bookmarkStart w:id="60" w:name="_Toc29749"/>
      <w:r>
        <w:rPr>
          <w:rFonts w:hint="eastAsia" w:ascii="Times New Roman" w:hAnsi="Times New Roman" w:eastAsia="黑体" w:cs="黑体"/>
          <w:kern w:val="2"/>
          <w:sz w:val="21"/>
          <w:szCs w:val="21"/>
          <w:highlight w:val="none"/>
          <w:lang w:val="en-US" w:eastAsia="zh-CN" w:bidi="ar-SA"/>
        </w:rPr>
        <w:t>医药企业信用评价指标</w:t>
      </w:r>
      <w:bookmarkEnd w:id="60"/>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b w:val="0"/>
          <w:bCs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宋体" w:cs="宋体"/>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表A.1 医药企业公共部分信用评价指标</w:t>
      </w:r>
    </w:p>
    <w:tbl>
      <w:tblPr>
        <w:tblStyle w:val="7"/>
        <w:tblpPr w:leftFromText="180" w:rightFromText="180" w:vertAnchor="text" w:horzAnchor="page" w:tblpXSpec="center" w:tblpY="158"/>
        <w:tblOverlap w:val="never"/>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581"/>
        <w:gridCol w:w="2379"/>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88" w:type="dxa"/>
            <w:shd w:val="clear" w:color="auto" w:fill="auto"/>
            <w:noWrap w:val="0"/>
            <w:vAlign w:val="top"/>
          </w:tcPr>
          <w:p>
            <w:pPr>
              <w:spacing w:line="240" w:lineRule="atLeast"/>
              <w:ind w:firstLine="0" w:firstLineChars="0"/>
              <w:jc w:val="center"/>
              <w:rPr>
                <w:rFonts w:hint="eastAsia" w:asciiTheme="minorEastAsia" w:hAnsiTheme="minorEastAsia" w:eastAsiaTheme="minorEastAsia" w:cstheme="minorEastAsia"/>
                <w:b/>
                <w:bCs w:val="0"/>
                <w:sz w:val="18"/>
                <w:szCs w:val="18"/>
                <w:lang w:val="en-US" w:eastAsia="zh-CN"/>
              </w:rPr>
            </w:pPr>
            <w:r>
              <w:rPr>
                <w:rFonts w:hint="eastAsia" w:asciiTheme="minorEastAsia" w:hAnsiTheme="minorEastAsia" w:eastAsiaTheme="minorEastAsia" w:cstheme="minorEastAsia"/>
                <w:b/>
                <w:bCs w:val="0"/>
                <w:sz w:val="18"/>
                <w:szCs w:val="18"/>
                <w:lang w:val="en-US" w:eastAsia="zh-CN"/>
              </w:rPr>
              <w:t>一级指标</w:t>
            </w:r>
          </w:p>
        </w:tc>
        <w:tc>
          <w:tcPr>
            <w:tcW w:w="1581" w:type="dxa"/>
            <w:shd w:val="clear" w:color="auto" w:fill="auto"/>
            <w:noWrap w:val="0"/>
            <w:vAlign w:val="top"/>
          </w:tcPr>
          <w:p>
            <w:pPr>
              <w:spacing w:line="240" w:lineRule="atLeast"/>
              <w:ind w:firstLine="0" w:firstLineChars="0"/>
              <w:jc w:val="center"/>
              <w:rPr>
                <w:rFonts w:hint="eastAsia" w:asciiTheme="minorEastAsia" w:hAnsiTheme="minorEastAsia" w:eastAsiaTheme="minorEastAsia" w:cstheme="minorEastAsia"/>
                <w:b/>
                <w:bCs w:val="0"/>
                <w:sz w:val="18"/>
                <w:szCs w:val="18"/>
                <w:lang w:val="en-US" w:eastAsia="zh-CN"/>
              </w:rPr>
            </w:pPr>
            <w:r>
              <w:rPr>
                <w:rFonts w:hint="eastAsia" w:asciiTheme="minorEastAsia" w:hAnsiTheme="minorEastAsia" w:eastAsiaTheme="minorEastAsia" w:cstheme="minorEastAsia"/>
                <w:b/>
                <w:bCs w:val="0"/>
                <w:sz w:val="18"/>
                <w:szCs w:val="18"/>
                <w:lang w:val="en-US" w:eastAsia="zh-CN"/>
              </w:rPr>
              <w:t>二级指标</w:t>
            </w:r>
          </w:p>
        </w:tc>
        <w:tc>
          <w:tcPr>
            <w:tcW w:w="2379" w:type="dxa"/>
            <w:shd w:val="clear" w:color="auto" w:fill="auto"/>
            <w:noWrap w:val="0"/>
            <w:vAlign w:val="top"/>
          </w:tcPr>
          <w:p>
            <w:pPr>
              <w:spacing w:line="240" w:lineRule="atLeast"/>
              <w:ind w:firstLine="0" w:firstLineChars="0"/>
              <w:jc w:val="center"/>
              <w:rPr>
                <w:rFonts w:hint="eastAsia" w:asciiTheme="minorEastAsia" w:hAnsiTheme="minorEastAsia" w:eastAsiaTheme="minorEastAsia" w:cstheme="minorEastAsia"/>
                <w:b/>
                <w:bCs w:val="0"/>
                <w:sz w:val="18"/>
                <w:szCs w:val="18"/>
                <w:lang w:val="en-US" w:eastAsia="zh-CN"/>
              </w:rPr>
            </w:pPr>
            <w:r>
              <w:rPr>
                <w:rFonts w:hint="eastAsia" w:asciiTheme="minorEastAsia" w:hAnsiTheme="minorEastAsia" w:eastAsiaTheme="minorEastAsia" w:cstheme="minorEastAsia"/>
                <w:b/>
                <w:bCs w:val="0"/>
                <w:sz w:val="18"/>
                <w:szCs w:val="18"/>
                <w:lang w:val="en-US" w:eastAsia="zh-CN"/>
              </w:rPr>
              <w:t>三级指标</w:t>
            </w:r>
          </w:p>
        </w:tc>
        <w:tc>
          <w:tcPr>
            <w:tcW w:w="4462" w:type="dxa"/>
            <w:shd w:val="clear" w:color="auto" w:fill="auto"/>
            <w:noWrap w:val="0"/>
            <w:vAlign w:val="top"/>
          </w:tcPr>
          <w:p>
            <w:pPr>
              <w:spacing w:line="240" w:lineRule="atLeast"/>
              <w:ind w:firstLine="0" w:firstLineChars="0"/>
              <w:jc w:val="center"/>
              <w:rPr>
                <w:rFonts w:hint="eastAsia" w:asciiTheme="minorEastAsia" w:hAnsiTheme="minorEastAsia" w:eastAsiaTheme="minorEastAsia" w:cstheme="minorEastAsia"/>
                <w:b/>
                <w:bCs w:val="0"/>
                <w:sz w:val="18"/>
                <w:szCs w:val="18"/>
                <w:lang w:val="en-US" w:eastAsia="zh-CN"/>
              </w:rPr>
            </w:pPr>
            <w:r>
              <w:rPr>
                <w:rFonts w:hint="eastAsia" w:asciiTheme="minorEastAsia" w:hAnsiTheme="minorEastAsia" w:eastAsiaTheme="minorEastAsia" w:cstheme="minorEastAsia"/>
                <w:b/>
                <w:bCs w:val="0"/>
                <w:sz w:val="18"/>
                <w:szCs w:val="18"/>
                <w:lang w:val="en-US"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restart"/>
            <w:noWrap w:val="0"/>
            <w:vAlign w:val="center"/>
          </w:tcPr>
          <w:p>
            <w:pPr>
              <w:numPr>
                <w:ilvl w:val="0"/>
                <w:numId w:val="1"/>
              </w:numPr>
              <w:spacing w:line="240" w:lineRule="atLeast"/>
              <w:ind w:left="0" w:leftChars="0" w:hanging="170" w:firstLineChars="0"/>
              <w:jc w:val="center"/>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经营管理（</w:t>
            </w:r>
            <w:r>
              <w:rPr>
                <w:rFonts w:hint="eastAsia" w:asciiTheme="minorEastAsia" w:hAnsiTheme="minorEastAsia" w:eastAsiaTheme="minorEastAsia" w:cstheme="minorEastAsia"/>
                <w:b w:val="0"/>
                <w:bCs/>
                <w:sz w:val="18"/>
                <w:szCs w:val="18"/>
                <w:lang w:val="en-US" w:eastAsia="zh-CN"/>
              </w:rPr>
              <w:t>130</w:t>
            </w:r>
            <w:r>
              <w:rPr>
                <w:rFonts w:hint="eastAsia" w:asciiTheme="minorEastAsia" w:hAnsiTheme="minorEastAsia" w:eastAsiaTheme="minorEastAsia" w:cstheme="minorEastAsia"/>
                <w:b w:val="0"/>
                <w:bCs/>
                <w:sz w:val="18"/>
                <w:szCs w:val="18"/>
              </w:rPr>
              <w:t>）</w:t>
            </w: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sz w:val="18"/>
                <w:szCs w:val="18"/>
                <w:highlight w:val="none"/>
                <w:lang w:val="en-US"/>
              </w:rPr>
            </w:pPr>
            <w:r>
              <w:rPr>
                <w:rFonts w:hint="eastAsia" w:asciiTheme="minorEastAsia" w:hAnsiTheme="minorEastAsia" w:eastAsiaTheme="minorEastAsia" w:cstheme="minorEastAsia"/>
                <w:b w:val="0"/>
                <w:bCs/>
                <w:sz w:val="18"/>
                <w:szCs w:val="18"/>
                <w:highlight w:val="none"/>
                <w:lang w:val="en-US" w:eastAsia="zh-CN"/>
              </w:rPr>
              <w:t>经营规模（10）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公司经营规模信息（10）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rPr>
              <w:t>企业营业收入</w:t>
            </w:r>
            <w:r>
              <w:rPr>
                <w:rFonts w:hint="eastAsia" w:asciiTheme="minorEastAsia" w:hAnsiTheme="minorEastAsia" w:eastAsiaTheme="minorEastAsia" w:cstheme="minorEastAsia"/>
                <w:b w:val="0"/>
                <w:bCs/>
                <w:sz w:val="18"/>
                <w:szCs w:val="18"/>
                <w:lang w:eastAsia="zh-CN"/>
              </w:rPr>
              <w:t>、总资产</w:t>
            </w:r>
            <w:r>
              <w:rPr>
                <w:rFonts w:hint="eastAsia" w:asciiTheme="minorEastAsia" w:hAnsiTheme="minorEastAsia" w:eastAsiaTheme="minorEastAsia" w:cstheme="minorEastAsia"/>
                <w:b w:val="0"/>
                <w:bCs/>
                <w:sz w:val="18"/>
                <w:szCs w:val="18"/>
              </w:rPr>
              <w:t>和人员规模等</w:t>
            </w:r>
            <w:r>
              <w:rPr>
                <w:rFonts w:hint="eastAsia" w:asciiTheme="minorEastAsia" w:hAnsiTheme="minorEastAsia" w:eastAsiaTheme="minorEastAsia" w:cstheme="minorEastAsia"/>
                <w:b w:val="0"/>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lang w:val="en-US" w:eastAsia="zh-CN"/>
              </w:rPr>
              <w:t>经营时长（10）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公司经营年限信息（10）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企业存续年限。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sz w:val="18"/>
                <w:szCs w:val="18"/>
                <w:highlight w:val="none"/>
                <w:lang w:val="en-US"/>
              </w:rPr>
            </w:pPr>
            <w:r>
              <w:rPr>
                <w:rFonts w:hint="eastAsia" w:asciiTheme="minorEastAsia" w:hAnsiTheme="minorEastAsia" w:eastAsiaTheme="minorEastAsia" w:cstheme="minorEastAsia"/>
                <w:b w:val="0"/>
                <w:bCs/>
                <w:sz w:val="18"/>
                <w:szCs w:val="18"/>
                <w:highlight w:val="none"/>
                <w:lang w:val="en-US" w:eastAsia="zh-CN"/>
              </w:rPr>
              <w:t>对外投资（10）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公司对外投资信息（10）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rPr>
              <w:t>企业在其本身经营的主要业务以外，对外投资以及分支机构设立情况</w:t>
            </w:r>
            <w:r>
              <w:rPr>
                <w:rFonts w:hint="eastAsia" w:asciiTheme="minorEastAsia" w:hAnsiTheme="minorEastAsia" w:eastAsiaTheme="minorEastAsia" w:cstheme="minorEastAsia"/>
                <w:b w:val="0"/>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主要人员信息（40）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主要人员严重失信信息（40）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法定代表人、董监高、实际控制人等主要人员列入严重失信名单等信息。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vMerge w:val="restart"/>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经营信息（40）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经营异常信息（20）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列入经营异常名录信息。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非正常户信息（20）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被认定为非正常户信息。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变更风险（20）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变更企业名称、企业地址、法定代表人信息（20）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企业变更企业名称、企业地址、法定代表人信息。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8" w:type="dxa"/>
            <w:vMerge w:val="restart"/>
            <w:noWrap w:val="0"/>
            <w:vAlign w:val="center"/>
          </w:tcPr>
          <w:p>
            <w:pPr>
              <w:numPr>
                <w:ilvl w:val="0"/>
                <w:numId w:val="1"/>
              </w:numPr>
              <w:spacing w:line="240" w:lineRule="atLeast"/>
              <w:ind w:left="0" w:leftChars="0" w:hanging="170" w:firstLineChars="0"/>
              <w:jc w:val="center"/>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rPr>
              <w:t>遵纪守法（</w:t>
            </w:r>
            <w:r>
              <w:rPr>
                <w:rFonts w:hint="eastAsia" w:asciiTheme="minorEastAsia" w:hAnsiTheme="minorEastAsia" w:eastAsiaTheme="minorEastAsia" w:cstheme="minorEastAsia"/>
                <w:b w:val="0"/>
                <w:bCs/>
                <w:sz w:val="18"/>
                <w:szCs w:val="18"/>
                <w:highlight w:val="none"/>
                <w:lang w:val="en-US" w:eastAsia="zh-CN"/>
              </w:rPr>
              <w:t>210</w:t>
            </w:r>
            <w:r>
              <w:rPr>
                <w:rFonts w:hint="eastAsia" w:asciiTheme="minorEastAsia" w:hAnsiTheme="minorEastAsia" w:eastAsiaTheme="minorEastAsia" w:cstheme="minorEastAsia"/>
                <w:b w:val="0"/>
                <w:bCs/>
                <w:sz w:val="18"/>
                <w:szCs w:val="18"/>
              </w:rPr>
              <w:t>）</w:t>
            </w:r>
          </w:p>
        </w:tc>
        <w:tc>
          <w:tcPr>
            <w:tcW w:w="1581" w:type="dxa"/>
            <w:vMerge w:val="restart"/>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行政执法（100）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行政处罚信息（60）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行政处罚信息。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行政强制信息（40）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lang w:val="en-US" w:eastAsia="zh-CN"/>
              </w:rPr>
              <w:t>行政强制信息。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vMerge w:val="restart"/>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司法信息（80）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被执行人信息（40）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被法院强制执行的信息。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highlight w:val="none"/>
                <w:lang w:val="en-US" w:eastAsia="zh-CN"/>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虚假诉讼信息、其他刑事犯罪信息（40）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被法院认定虚假诉讼信息以及刑事犯罪信息。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其他不良信息（30）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通报批评、投诉举报信息（30）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被有关部门通报批评或受到投诉、举报并经有关政府部门核实认定的信息。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restart"/>
            <w:noWrap w:val="0"/>
            <w:vAlign w:val="center"/>
          </w:tcPr>
          <w:p>
            <w:pPr>
              <w:numPr>
                <w:ilvl w:val="0"/>
                <w:numId w:val="1"/>
              </w:numPr>
              <w:spacing w:line="240" w:lineRule="atLeast"/>
              <w:ind w:left="0" w:leftChars="0" w:hanging="170" w:firstLineChars="0"/>
              <w:jc w:val="center"/>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履约践诺（</w:t>
            </w:r>
            <w:r>
              <w:rPr>
                <w:rFonts w:hint="eastAsia" w:asciiTheme="minorEastAsia" w:hAnsiTheme="minorEastAsia" w:eastAsiaTheme="minorEastAsia" w:cstheme="minorEastAsia"/>
                <w:b w:val="0"/>
                <w:bCs/>
                <w:sz w:val="18"/>
                <w:szCs w:val="18"/>
                <w:highlight w:val="none"/>
                <w:lang w:val="en-US" w:eastAsia="zh-CN"/>
              </w:rPr>
              <w:t>180</w:t>
            </w:r>
            <w:r>
              <w:rPr>
                <w:rFonts w:hint="eastAsia" w:asciiTheme="minorEastAsia" w:hAnsiTheme="minorEastAsia" w:eastAsiaTheme="minorEastAsia" w:cstheme="minorEastAsia"/>
                <w:b w:val="0"/>
                <w:bCs/>
                <w:sz w:val="18"/>
                <w:szCs w:val="18"/>
              </w:rPr>
              <w:t>）</w:t>
            </w: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拖欠公共事业费用（40）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拖欠水、电、气（40）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企业拖欠水费、电费、气费记录。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信用承诺（60）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信用承诺履行状况（60）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企业公开作出的信用承诺履行状况。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vMerge w:val="restart"/>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税费信息（80）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kern w:val="2"/>
                <w:sz w:val="18"/>
                <w:szCs w:val="18"/>
                <w:highlight w:val="none"/>
                <w:lang w:val="en-US" w:eastAsia="zh-CN" w:bidi="ar-SA"/>
              </w:rPr>
            </w:pPr>
            <w:r>
              <w:rPr>
                <w:rFonts w:hint="eastAsia" w:asciiTheme="minorEastAsia" w:hAnsiTheme="minorEastAsia" w:eastAsiaTheme="minorEastAsia" w:cstheme="minorEastAsia"/>
                <w:b w:val="0"/>
                <w:bCs/>
                <w:sz w:val="18"/>
                <w:szCs w:val="18"/>
                <w:highlight w:val="none"/>
                <w:lang w:val="en-US" w:eastAsia="zh-CN"/>
              </w:rPr>
              <w:t>税收缴纳信息（40）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税收欠缴信息。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kern w:val="2"/>
                <w:sz w:val="18"/>
                <w:szCs w:val="18"/>
                <w:highlight w:val="none"/>
                <w:lang w:val="en-US" w:eastAsia="zh-CN" w:bidi="ar-SA"/>
              </w:rPr>
            </w:pPr>
            <w:r>
              <w:rPr>
                <w:rFonts w:hint="eastAsia" w:asciiTheme="minorEastAsia" w:hAnsiTheme="minorEastAsia" w:eastAsiaTheme="minorEastAsia" w:cstheme="minorEastAsia"/>
                <w:b w:val="0"/>
                <w:bCs/>
                <w:sz w:val="18"/>
                <w:szCs w:val="18"/>
                <w:highlight w:val="none"/>
                <w:lang w:val="en-US" w:eastAsia="zh-CN"/>
              </w:rPr>
              <w:t>社保、公积金缴纳信息（40）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社保、公积金费用欠缴信息。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restart"/>
            <w:noWrap w:val="0"/>
            <w:vAlign w:val="center"/>
          </w:tcPr>
          <w:p>
            <w:pPr>
              <w:numPr>
                <w:ilvl w:val="0"/>
                <w:numId w:val="1"/>
              </w:numPr>
              <w:spacing w:line="240" w:lineRule="atLeast"/>
              <w:ind w:left="0" w:leftChars="0" w:hanging="170" w:firstLineChars="0"/>
              <w:jc w:val="center"/>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highlight w:val="none"/>
              </w:rPr>
              <w:t>发展创新</w:t>
            </w:r>
            <w:r>
              <w:rPr>
                <w:rFonts w:hint="eastAsia" w:asciiTheme="minorEastAsia" w:hAnsiTheme="minorEastAsia" w:eastAsiaTheme="minorEastAsia" w:cstheme="minorEastAsia"/>
                <w:b w:val="0"/>
                <w:bCs/>
                <w:sz w:val="18"/>
                <w:szCs w:val="18"/>
              </w:rPr>
              <w:t>（</w:t>
            </w:r>
            <w:r>
              <w:rPr>
                <w:rFonts w:hint="eastAsia" w:asciiTheme="minorEastAsia" w:hAnsiTheme="minorEastAsia" w:eastAsiaTheme="minorEastAsia" w:cstheme="minorEastAsia"/>
                <w:b w:val="0"/>
                <w:bCs/>
                <w:sz w:val="18"/>
                <w:szCs w:val="18"/>
                <w:lang w:val="en-US" w:eastAsia="zh-CN"/>
              </w:rPr>
              <w:t>80</w:t>
            </w:r>
            <w:r>
              <w:rPr>
                <w:rFonts w:hint="eastAsia" w:asciiTheme="minorEastAsia" w:hAnsiTheme="minorEastAsia" w:eastAsiaTheme="minorEastAsia" w:cstheme="minorEastAsia"/>
                <w:b w:val="0"/>
                <w:bCs/>
                <w:sz w:val="18"/>
                <w:szCs w:val="18"/>
              </w:rPr>
              <w:t>）</w:t>
            </w: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资质许可（40）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资质许可证书数量（40）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企业获得准入类行政许可信息、资质证书等信息。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知识产权（40）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知识产权数量（40）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企业在知识产权方面做出的成果，比如专利、商标、著作权、学术研究成果等。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88" w:type="dxa"/>
            <w:vMerge w:val="restart"/>
            <w:noWrap w:val="0"/>
            <w:vAlign w:val="center"/>
          </w:tcPr>
          <w:p>
            <w:pPr>
              <w:numPr>
                <w:ilvl w:val="0"/>
                <w:numId w:val="1"/>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rPr>
              <w:t>社会责任（</w:t>
            </w:r>
            <w:r>
              <w:rPr>
                <w:rFonts w:hint="eastAsia" w:asciiTheme="minorEastAsia" w:hAnsiTheme="minorEastAsia" w:eastAsiaTheme="minorEastAsia" w:cstheme="minorEastAsia"/>
                <w:b w:val="0"/>
                <w:bCs/>
                <w:color w:val="auto"/>
                <w:sz w:val="18"/>
                <w:szCs w:val="18"/>
                <w:highlight w:val="none"/>
                <w:lang w:val="en-US" w:eastAsia="zh-CN"/>
              </w:rPr>
              <w:t>270</w:t>
            </w:r>
            <w:r>
              <w:rPr>
                <w:rFonts w:hint="eastAsia" w:asciiTheme="minorEastAsia" w:hAnsiTheme="minorEastAsia" w:eastAsiaTheme="minorEastAsia" w:cstheme="minorEastAsia"/>
                <w:b w:val="0"/>
                <w:bCs/>
                <w:color w:val="auto"/>
                <w:sz w:val="18"/>
                <w:szCs w:val="18"/>
              </w:rPr>
              <w:t>）</w:t>
            </w: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产品质量信息（40）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监督检查信息（40）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工程质量、产品（食药品）等监督抽查结果信息。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安全生产信息（40）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安全生产事故信息（40）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安全生产事故信息。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纳税信息（20）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纳税等级信息（20）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税务部门评价结果。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环境保护信息（20）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环境污染安全事件信息（20）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环境安全事件信息。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rPr>
            </w:pP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职业健康信息（10）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职业病危害事故（10）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职业病危害事故信息。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rPr>
            </w:pPr>
          </w:p>
        </w:tc>
        <w:tc>
          <w:tcPr>
            <w:tcW w:w="1581" w:type="dxa"/>
            <w:vMerge w:val="restart"/>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守信奖励信息（100）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红名单信息</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列入红名单信息。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rPr>
            </w:pPr>
          </w:p>
        </w:tc>
        <w:tc>
          <w:tcPr>
            <w:tcW w:w="1581" w:type="dxa"/>
            <w:vMerge w:val="continue"/>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荣誉奖励信息</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政府部门、社会团体、行业协会、企业、公众等颁发的荣誉奖励信息。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rPr>
            </w:pPr>
          </w:p>
        </w:tc>
        <w:tc>
          <w:tcPr>
            <w:tcW w:w="1581" w:type="dxa"/>
            <w:vMerge w:val="restart"/>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社会公益类信息（40）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志愿服务信息</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参加志愿服务信息。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color w:val="auto"/>
                <w:sz w:val="18"/>
                <w:szCs w:val="18"/>
              </w:rPr>
            </w:pPr>
          </w:p>
        </w:tc>
        <w:tc>
          <w:tcPr>
            <w:tcW w:w="1581" w:type="dxa"/>
            <w:vMerge w:val="continue"/>
            <w:noWrap w:val="0"/>
            <w:vAlign w:val="center"/>
          </w:tcPr>
          <w:p>
            <w:pPr>
              <w:numPr>
                <w:ilvl w:val="0"/>
                <w:numId w:val="4"/>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慈善捐赠信息</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慈善捐赠信息。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88" w:type="dxa"/>
            <w:vMerge w:val="restart"/>
            <w:noWrap w:val="0"/>
            <w:vAlign w:val="center"/>
          </w:tcPr>
          <w:p>
            <w:pPr>
              <w:numPr>
                <w:ilvl w:val="0"/>
                <w:numId w:val="1"/>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lang w:eastAsia="zh-CN"/>
              </w:rPr>
              <w:t>财务状况</w:t>
            </w:r>
            <w:r>
              <w:rPr>
                <w:rFonts w:hint="eastAsia" w:asciiTheme="minorEastAsia" w:hAnsiTheme="minorEastAsia" w:eastAsiaTheme="minorEastAsia" w:cstheme="minorEastAsia"/>
                <w:b w:val="0"/>
                <w:bCs/>
                <w:color w:val="auto"/>
                <w:sz w:val="18"/>
                <w:szCs w:val="18"/>
              </w:rPr>
              <w:t>（</w:t>
            </w:r>
            <w:r>
              <w:rPr>
                <w:rFonts w:hint="eastAsia" w:asciiTheme="minorEastAsia" w:hAnsiTheme="minorEastAsia" w:eastAsiaTheme="minorEastAsia" w:cstheme="minorEastAsia"/>
                <w:b w:val="0"/>
                <w:bCs/>
                <w:color w:val="auto"/>
                <w:sz w:val="18"/>
                <w:szCs w:val="18"/>
                <w:highlight w:val="none"/>
                <w:lang w:val="en-US" w:eastAsia="zh-CN"/>
              </w:rPr>
              <w:t>130</w:t>
            </w:r>
            <w:r>
              <w:rPr>
                <w:rFonts w:hint="eastAsia" w:asciiTheme="minorEastAsia" w:hAnsiTheme="minorEastAsia" w:eastAsiaTheme="minorEastAsia" w:cstheme="minorEastAsia"/>
                <w:b w:val="0"/>
                <w:bCs/>
                <w:color w:val="auto"/>
                <w:sz w:val="18"/>
                <w:szCs w:val="18"/>
              </w:rPr>
              <w:t>）</w:t>
            </w:r>
          </w:p>
        </w:tc>
        <w:tc>
          <w:tcPr>
            <w:tcW w:w="1581" w:type="dxa"/>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财务信息（50）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财务相关信息（50）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企业财务报告的真实性、准确性和完整性。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vMerge w:val="restart"/>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偿债能力（40）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资产负债率（20）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（负债总额/资产总额）×100%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288" w:type="dxa"/>
            <w:vMerge w:val="continue"/>
            <w:noWrap w:val="0"/>
            <w:vAlign w:val="center"/>
          </w:tcPr>
          <w:p>
            <w:pPr>
              <w:spacing w:line="240" w:lineRule="atLeast"/>
              <w:ind w:left="0" w:leftChars="0" w:firstLine="0" w:firstLineChars="0"/>
              <w:jc w:val="left"/>
              <w:rPr>
                <w:rFonts w:hint="eastAsia" w:asciiTheme="minorEastAsia" w:hAnsiTheme="minorEastAsia" w:eastAsiaTheme="minorEastAsia" w:cstheme="minorEastAsia"/>
                <w:b w:val="0"/>
                <w:bCs/>
                <w:sz w:val="18"/>
                <w:szCs w:val="18"/>
              </w:rPr>
            </w:pPr>
          </w:p>
        </w:tc>
        <w:tc>
          <w:tcPr>
            <w:tcW w:w="1581" w:type="dxa"/>
            <w:vMerge w:val="continue"/>
            <w:noWrap w:val="0"/>
            <w:vAlign w:val="center"/>
          </w:tcPr>
          <w:p>
            <w:p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速动比率（10）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（速动资产/流动负债）×100%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288" w:type="dxa"/>
            <w:vMerge w:val="continue"/>
            <w:noWrap w:val="0"/>
            <w:vAlign w:val="center"/>
          </w:tcPr>
          <w:p>
            <w:p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p>
        </w:tc>
        <w:tc>
          <w:tcPr>
            <w:tcW w:w="1581" w:type="dxa"/>
            <w:vMerge w:val="continue"/>
            <w:noWrap w:val="0"/>
            <w:vAlign w:val="center"/>
          </w:tcPr>
          <w:p>
            <w:p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现金流动负债比率（10）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（年经营现金净流入/年末流动负债）×100%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288" w:type="dxa"/>
            <w:vMerge w:val="continue"/>
            <w:noWrap w:val="0"/>
            <w:vAlign w:val="center"/>
          </w:tcPr>
          <w:p>
            <w:pPr>
              <w:spacing w:line="240" w:lineRule="atLeast"/>
              <w:ind w:firstLine="0" w:firstLineChars="0"/>
              <w:jc w:val="center"/>
              <w:rPr>
                <w:rFonts w:hint="eastAsia" w:asciiTheme="minorEastAsia" w:hAnsiTheme="minorEastAsia" w:eastAsiaTheme="minorEastAsia" w:cstheme="minorEastAsia"/>
                <w:b w:val="0"/>
                <w:bCs/>
                <w:sz w:val="18"/>
                <w:szCs w:val="18"/>
              </w:rPr>
            </w:pPr>
          </w:p>
        </w:tc>
        <w:tc>
          <w:tcPr>
            <w:tcW w:w="1581" w:type="dxa"/>
            <w:vMerge w:val="restart"/>
            <w:noWrap w:val="0"/>
            <w:vAlign w:val="center"/>
          </w:tcPr>
          <w:p>
            <w:pPr>
              <w:numPr>
                <w:ilvl w:val="0"/>
                <w:numId w:val="2"/>
              </w:numPr>
              <w:spacing w:line="240" w:lineRule="atLeast"/>
              <w:ind w:left="0" w:leftChars="0" w:hanging="170" w:firstLineChars="0"/>
              <w:jc w:val="center"/>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盈利能力（40）</w:t>
            </w: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营业收入利润率（20）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（利润总额/营业收入净额）×100%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288" w:type="dxa"/>
            <w:vMerge w:val="continue"/>
            <w:noWrap w:val="0"/>
            <w:vAlign w:val="center"/>
          </w:tcPr>
          <w:p>
            <w:pPr>
              <w:spacing w:line="240" w:lineRule="atLeast"/>
              <w:ind w:left="0" w:leftChars="0" w:firstLine="0" w:firstLineChars="0"/>
              <w:jc w:val="left"/>
              <w:rPr>
                <w:rFonts w:hint="eastAsia" w:asciiTheme="minorEastAsia" w:hAnsiTheme="minorEastAsia" w:eastAsiaTheme="minorEastAsia" w:cstheme="minorEastAsia"/>
                <w:b w:val="0"/>
                <w:bCs/>
                <w:sz w:val="18"/>
                <w:szCs w:val="18"/>
              </w:rPr>
            </w:pPr>
          </w:p>
        </w:tc>
        <w:tc>
          <w:tcPr>
            <w:tcW w:w="1581" w:type="dxa"/>
            <w:vMerge w:val="continue"/>
            <w:noWrap w:val="0"/>
            <w:vAlign w:val="center"/>
          </w:tcPr>
          <w:p>
            <w:p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总资产报酬率（10）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（利润总额+利息支出）/平均资产总额×100%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288" w:type="dxa"/>
            <w:vMerge w:val="continue"/>
            <w:noWrap w:val="0"/>
            <w:vAlign w:val="center"/>
          </w:tcPr>
          <w:p>
            <w:pPr>
              <w:spacing w:line="240" w:lineRule="atLeast"/>
              <w:ind w:left="0" w:leftChars="0" w:firstLine="0" w:firstLineChars="0"/>
              <w:jc w:val="left"/>
              <w:rPr>
                <w:rFonts w:hint="eastAsia" w:asciiTheme="minorEastAsia" w:hAnsiTheme="minorEastAsia" w:eastAsiaTheme="minorEastAsia" w:cstheme="minorEastAsia"/>
                <w:b w:val="0"/>
                <w:bCs/>
                <w:sz w:val="18"/>
                <w:szCs w:val="18"/>
                <w:highlight w:val="none"/>
                <w:lang w:val="en-US" w:eastAsia="zh-CN"/>
              </w:rPr>
            </w:pPr>
          </w:p>
        </w:tc>
        <w:tc>
          <w:tcPr>
            <w:tcW w:w="1581" w:type="dxa"/>
            <w:vMerge w:val="continue"/>
            <w:noWrap w:val="0"/>
            <w:vAlign w:val="center"/>
          </w:tcPr>
          <w:p>
            <w:p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p>
        </w:tc>
        <w:tc>
          <w:tcPr>
            <w:tcW w:w="2379" w:type="dxa"/>
            <w:noWrap w:val="0"/>
            <w:vAlign w:val="center"/>
          </w:tcPr>
          <w:p>
            <w:pPr>
              <w:numPr>
                <w:ilvl w:val="0"/>
                <w:numId w:val="3"/>
              </w:numPr>
              <w:spacing w:line="240" w:lineRule="atLeast"/>
              <w:ind w:left="0" w:leftChars="0" w:firstLine="0" w:firstLineChars="0"/>
              <w:jc w:val="lef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净资产收益率（10）</w:t>
            </w:r>
          </w:p>
        </w:tc>
        <w:tc>
          <w:tcPr>
            <w:tcW w:w="4462" w:type="dxa"/>
            <w:noWrap w:val="0"/>
            <w:vAlign w:val="center"/>
          </w:tcPr>
          <w:p>
            <w:pPr>
              <w:spacing w:line="240" w:lineRule="atLeast"/>
              <w:ind w:firstLine="0" w:firstLineChars="0"/>
              <w:jc w:val="lef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（净利润/平均净资产）×100%</w:t>
            </w:r>
          </w:p>
        </w:tc>
      </w:tr>
    </w:tbl>
    <w:p>
      <w:pPr>
        <w:widowControl/>
        <w:textAlignment w:val="center"/>
        <w:rPr>
          <w:rFonts w:ascii="Times New Roman" w:hAnsi="Times New Roman"/>
        </w:rPr>
      </w:pPr>
      <w:r>
        <w:rPr>
          <w:rFonts w:hint="eastAsia" w:ascii="Times New Roman" w:hAnsi="Times New Roman" w:eastAsia="仿宋" w:cs="仿宋"/>
          <w:bCs/>
          <w:sz w:val="32"/>
          <w:szCs w:val="32"/>
        </w:rPr>
        <w:br w:type="page"/>
      </w:r>
    </w:p>
    <w:p>
      <w:pPr>
        <w:widowControl/>
        <w:jc w:val="center"/>
        <w:textAlignment w:val="center"/>
        <w:rPr>
          <w:rFonts w:hint="eastAsia" w:ascii="Times New Roman" w:hAnsi="Times New Roman" w:eastAsia="仿宋" w:cs="仿宋"/>
          <w:bCs/>
          <w:sz w:val="32"/>
          <w:szCs w:val="32"/>
        </w:rPr>
      </w:pPr>
      <w:r>
        <w:rPr>
          <w:rFonts w:hint="eastAsia" w:asciiTheme="minorEastAsia" w:hAnsiTheme="minorEastAsia" w:eastAsiaTheme="minorEastAsia" w:cstheme="minorEastAsia"/>
          <w:b w:val="0"/>
          <w:bCs w:val="0"/>
          <w:kern w:val="2"/>
          <w:sz w:val="21"/>
          <w:szCs w:val="21"/>
          <w:highlight w:val="none"/>
          <w:lang w:val="en-US" w:eastAsia="zh-CN" w:bidi="ar-SA"/>
        </w:rPr>
        <w:t>表A.2 医药生产类企业专业部分信用评价指标</w:t>
      </w:r>
    </w:p>
    <w:tbl>
      <w:tblPr>
        <w:tblStyle w:val="7"/>
        <w:tblW w:w="9155" w:type="dxa"/>
        <w:jc w:val="center"/>
        <w:tblLayout w:type="fixed"/>
        <w:tblCellMar>
          <w:top w:w="0" w:type="dxa"/>
          <w:left w:w="0" w:type="dxa"/>
          <w:bottom w:w="0" w:type="dxa"/>
          <w:right w:w="0" w:type="dxa"/>
        </w:tblCellMar>
      </w:tblPr>
      <w:tblGrid>
        <w:gridCol w:w="1810"/>
        <w:gridCol w:w="1887"/>
        <w:gridCol w:w="5458"/>
      </w:tblGrid>
      <w:tr>
        <w:tblPrEx>
          <w:tblCellMar>
            <w:top w:w="0" w:type="dxa"/>
            <w:left w:w="0" w:type="dxa"/>
            <w:bottom w:w="0" w:type="dxa"/>
            <w:right w:w="0" w:type="dxa"/>
          </w:tblCellMar>
        </w:tblPrEx>
        <w:trPr>
          <w:trHeight w:val="367" w:hRule="atLeast"/>
          <w:jc w:val="center"/>
        </w:trPr>
        <w:tc>
          <w:tcPr>
            <w:tcW w:w="18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hint="eastAsia" w:asciiTheme="minorEastAsia" w:hAnsiTheme="minorEastAsia" w:eastAsiaTheme="minorEastAsia" w:cstheme="minorEastAsia"/>
                <w:b/>
                <w:bCs w:val="0"/>
                <w:sz w:val="18"/>
                <w:szCs w:val="18"/>
                <w:lang w:val="en-US" w:eastAsia="zh-CN"/>
              </w:rPr>
            </w:pPr>
            <w:r>
              <w:rPr>
                <w:rFonts w:hint="eastAsia" w:asciiTheme="minorEastAsia" w:hAnsiTheme="minorEastAsia" w:eastAsiaTheme="minorEastAsia" w:cstheme="minorEastAsia"/>
                <w:b/>
                <w:bCs w:val="0"/>
                <w:sz w:val="18"/>
                <w:szCs w:val="18"/>
                <w:lang w:val="en-US" w:eastAsia="zh-CN"/>
              </w:rPr>
              <w:t>一级指标</w:t>
            </w:r>
          </w:p>
        </w:tc>
        <w:tc>
          <w:tcPr>
            <w:tcW w:w="1887"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spacing w:line="240" w:lineRule="atLeast"/>
              <w:ind w:firstLine="0" w:firstLineChars="0"/>
              <w:jc w:val="center"/>
              <w:rPr>
                <w:rFonts w:hint="eastAsia" w:asciiTheme="minorEastAsia" w:hAnsiTheme="minorEastAsia" w:eastAsiaTheme="minorEastAsia" w:cstheme="minorEastAsia"/>
                <w:b/>
                <w:bCs w:val="0"/>
                <w:sz w:val="18"/>
                <w:szCs w:val="18"/>
                <w:lang w:val="en-US" w:eastAsia="zh-CN"/>
              </w:rPr>
            </w:pPr>
            <w:r>
              <w:rPr>
                <w:rFonts w:hint="eastAsia" w:asciiTheme="minorEastAsia" w:hAnsiTheme="minorEastAsia" w:eastAsiaTheme="minorEastAsia" w:cstheme="minorEastAsia"/>
                <w:b/>
                <w:bCs w:val="0"/>
                <w:sz w:val="18"/>
                <w:szCs w:val="18"/>
                <w:lang w:val="en-US" w:eastAsia="zh-CN"/>
              </w:rPr>
              <w:t>二级指标</w:t>
            </w:r>
          </w:p>
        </w:tc>
        <w:tc>
          <w:tcPr>
            <w:tcW w:w="5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hint="eastAsia" w:asciiTheme="minorEastAsia" w:hAnsiTheme="minorEastAsia" w:eastAsiaTheme="minorEastAsia" w:cstheme="minorEastAsia"/>
                <w:b/>
                <w:bCs w:val="0"/>
                <w:sz w:val="18"/>
                <w:szCs w:val="18"/>
                <w:lang w:val="en-US" w:eastAsia="zh-CN"/>
              </w:rPr>
            </w:pPr>
            <w:r>
              <w:rPr>
                <w:rFonts w:hint="eastAsia" w:asciiTheme="minorEastAsia" w:hAnsiTheme="minorEastAsia" w:eastAsiaTheme="minorEastAsia" w:cstheme="minorEastAsia"/>
                <w:b/>
                <w:bCs w:val="0"/>
                <w:sz w:val="18"/>
                <w:szCs w:val="18"/>
                <w:lang w:val="en-US" w:eastAsia="zh-CN"/>
              </w:rPr>
              <w:t>指标说明</w:t>
            </w:r>
          </w:p>
        </w:tc>
      </w:tr>
      <w:tr>
        <w:tblPrEx>
          <w:tblCellMar>
            <w:top w:w="0" w:type="dxa"/>
            <w:left w:w="0" w:type="dxa"/>
            <w:bottom w:w="0" w:type="dxa"/>
            <w:right w:w="0" w:type="dxa"/>
          </w:tblCellMar>
        </w:tblPrEx>
        <w:trPr>
          <w:trHeight w:val="57" w:hRule="atLeast"/>
          <w:jc w:val="center"/>
        </w:trPr>
        <w:tc>
          <w:tcPr>
            <w:tcW w:w="181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eastAsia="zh-CN" w:bidi="ar"/>
              </w:rPr>
            </w:pPr>
            <w:r>
              <w:rPr>
                <w:rStyle w:val="11"/>
                <w:rFonts w:hint="eastAsia" w:asciiTheme="minorEastAsia" w:hAnsiTheme="minorEastAsia" w:eastAsiaTheme="minorEastAsia" w:cstheme="minorEastAsia"/>
                <w:b w:val="0"/>
                <w:bCs/>
                <w:sz w:val="18"/>
                <w:szCs w:val="18"/>
                <w:highlight w:val="none"/>
                <w:lang w:eastAsia="zh-CN" w:bidi="ar"/>
              </w:rPr>
              <w:t>一、</w:t>
            </w:r>
            <w:r>
              <w:rPr>
                <w:rStyle w:val="11"/>
                <w:rFonts w:hint="eastAsia" w:asciiTheme="minorEastAsia" w:hAnsiTheme="minorEastAsia" w:eastAsiaTheme="minorEastAsia" w:cstheme="minorEastAsia"/>
                <w:b w:val="0"/>
                <w:bCs/>
                <w:sz w:val="18"/>
                <w:szCs w:val="18"/>
                <w:highlight w:val="none"/>
                <w:lang w:bidi="ar"/>
              </w:rPr>
              <w:t>基础素质（</w:t>
            </w:r>
            <w:r>
              <w:rPr>
                <w:rStyle w:val="11"/>
                <w:rFonts w:hint="eastAsia" w:asciiTheme="minorEastAsia" w:hAnsiTheme="minorEastAsia" w:eastAsiaTheme="minorEastAsia" w:cstheme="minorEastAsia"/>
                <w:b w:val="0"/>
                <w:bCs/>
                <w:sz w:val="18"/>
                <w:szCs w:val="18"/>
                <w:highlight w:val="none"/>
                <w:lang w:val="en-US" w:eastAsia="zh-CN" w:bidi="ar"/>
              </w:rPr>
              <w:t>250</w:t>
            </w:r>
            <w:r>
              <w:rPr>
                <w:rStyle w:val="11"/>
                <w:rFonts w:hint="eastAsia" w:asciiTheme="minorEastAsia" w:hAnsiTheme="minorEastAsia" w:eastAsiaTheme="minorEastAsia" w:cstheme="minorEastAsia"/>
                <w:b w:val="0"/>
                <w:bCs/>
                <w:sz w:val="18"/>
                <w:szCs w:val="18"/>
                <w:highlight w:val="none"/>
                <w:lang w:bidi="ar"/>
              </w:rPr>
              <w:t>）</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（一）生产基地（40）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评价企业生产基地状况。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eastAsia="zh-CN"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（二）生产设备（40）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评价企业生产设备的先进程度、智能化、折旧等情况。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val="en-US" w:eastAsia="zh-CN"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（三）认证情况（30）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评价企业取得资质认证情况。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eastAsia="zh-CN"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（四）员工素质（40）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反映企业管理人员能力和其他人员的工作能力、文化培训情况。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eastAsia="zh-CN"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（五）职业资格（50）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评价药学技术人员数量情况。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eastAsia="zh-CN"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（六）管理经验（50）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评价企业高管人员的从业年限。</w:t>
            </w:r>
          </w:p>
        </w:tc>
      </w:tr>
      <w:tr>
        <w:tblPrEx>
          <w:tblCellMar>
            <w:top w:w="0" w:type="dxa"/>
            <w:left w:w="0" w:type="dxa"/>
            <w:bottom w:w="0" w:type="dxa"/>
            <w:right w:w="0" w:type="dxa"/>
          </w:tblCellMar>
        </w:tblPrEx>
        <w:trPr>
          <w:trHeight w:val="57" w:hRule="atLeast"/>
          <w:jc w:val="center"/>
        </w:trPr>
        <w:tc>
          <w:tcPr>
            <w:tcW w:w="181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二、经营概况（400）</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（七）产品结构（70）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评价企业主营药品涉及的行业数量，治疗领域的丰富情况。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88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（八）研发能力（90）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研发投入=研发费用/营业收入</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887" w:type="dxa"/>
            <w:vMerge w:val="continue"/>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评价企业在研产品数量。</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（九）原材料保障能力（50）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评价原材料的保障情况。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（十）销售网络（50）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评价企业销售网络布局情况。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887"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（十一）品牌认可度（50）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评价企业品牌认可度情况。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88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（十二）资产运营能力（90）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应收账款周转率=营业收入净额/平均应收账款余额</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88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流动资产周转率=营业收入净额/平均流动资产总额</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88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总资产周转率=营业收入净额/平均资产总额</w:t>
            </w:r>
          </w:p>
        </w:tc>
      </w:tr>
      <w:tr>
        <w:tblPrEx>
          <w:tblCellMar>
            <w:top w:w="0" w:type="dxa"/>
            <w:left w:w="0" w:type="dxa"/>
            <w:bottom w:w="0" w:type="dxa"/>
            <w:right w:w="0" w:type="dxa"/>
          </w:tblCellMar>
        </w:tblPrEx>
        <w:trPr>
          <w:trHeight w:val="390" w:hRule="atLeast"/>
          <w:jc w:val="center"/>
        </w:trPr>
        <w:tc>
          <w:tcPr>
            <w:tcW w:w="181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三、发展潜力（200）</w:t>
            </w:r>
          </w:p>
        </w:tc>
        <w:tc>
          <w:tcPr>
            <w:tcW w:w="188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（十三）成长能力（90）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营业收入增长率=（本期营业收入-上期营业收入）/上期营业收入*100%</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88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利润增长率=（本期利润-上期利润）/上期利润*100%</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88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shd w:val="clear"/>
                <w:lang w:val="en-US" w:eastAsia="zh-CN" w:bidi="ar"/>
              </w:rPr>
              <w:t>资本保值增值率=（年末所有者权益/年初所有者权益）</w:t>
            </w:r>
            <w:r>
              <w:rPr>
                <w:rStyle w:val="12"/>
                <w:rFonts w:hint="eastAsia" w:asciiTheme="minorEastAsia" w:hAnsiTheme="minorEastAsia" w:eastAsiaTheme="minorEastAsia" w:cstheme="minorEastAsia"/>
                <w:b w:val="0"/>
                <w:bCs/>
                <w:color w:val="auto"/>
                <w:sz w:val="18"/>
                <w:szCs w:val="18"/>
                <w:highlight w:val="none"/>
                <w:lang w:val="en-US" w:eastAsia="zh-CN" w:bidi="ar"/>
              </w:rPr>
              <w:t>*100%</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（十四）</w:t>
            </w:r>
            <w:r>
              <w:rPr>
                <w:rStyle w:val="12"/>
                <w:rFonts w:hint="eastAsia" w:asciiTheme="minorEastAsia" w:hAnsiTheme="minorEastAsia" w:cstheme="minorEastAsia"/>
                <w:b w:val="0"/>
                <w:bCs/>
                <w:color w:val="auto"/>
                <w:sz w:val="18"/>
                <w:szCs w:val="18"/>
                <w:highlight w:val="none"/>
                <w:lang w:val="en-US" w:eastAsia="zh-CN" w:bidi="ar"/>
              </w:rPr>
              <w:t>宏观环境</w:t>
            </w:r>
            <w:r>
              <w:rPr>
                <w:rStyle w:val="12"/>
                <w:rFonts w:hint="eastAsia" w:asciiTheme="minorEastAsia" w:hAnsiTheme="minorEastAsia" w:eastAsiaTheme="minorEastAsia" w:cstheme="minorEastAsia"/>
                <w:b w:val="0"/>
                <w:bCs/>
                <w:color w:val="auto"/>
                <w:sz w:val="18"/>
                <w:szCs w:val="18"/>
                <w:highlight w:val="none"/>
                <w:lang w:val="en-US" w:eastAsia="zh-CN" w:bidi="ar"/>
              </w:rPr>
              <w:t>（60）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评价宏观发展环境</w:t>
            </w:r>
            <w:r>
              <w:rPr>
                <w:rStyle w:val="12"/>
                <w:rFonts w:hint="eastAsia" w:asciiTheme="minorEastAsia" w:hAnsiTheme="minorEastAsia" w:cstheme="minorEastAsia"/>
                <w:b w:val="0"/>
                <w:bCs/>
                <w:color w:val="auto"/>
                <w:sz w:val="18"/>
                <w:szCs w:val="18"/>
                <w:highlight w:val="none"/>
                <w:lang w:val="en-US" w:eastAsia="zh-CN" w:bidi="ar"/>
              </w:rPr>
              <w:t>对企业经营的影响</w:t>
            </w:r>
            <w:r>
              <w:rPr>
                <w:rStyle w:val="12"/>
                <w:rFonts w:hint="eastAsia" w:asciiTheme="minorEastAsia" w:hAnsiTheme="minorEastAsia" w:eastAsiaTheme="minorEastAsia" w:cstheme="minorEastAsia"/>
                <w:b w:val="0"/>
                <w:bCs/>
                <w:color w:val="auto"/>
                <w:sz w:val="18"/>
                <w:szCs w:val="18"/>
                <w:highlight w:val="none"/>
                <w:lang w:val="en-US" w:eastAsia="zh-CN" w:bidi="ar"/>
              </w:rPr>
              <w:t>。</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（十五）发展规划及措施（50）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评价企业3-5年规划、长远规划及保障措施等。</w:t>
            </w:r>
          </w:p>
        </w:tc>
      </w:tr>
      <w:tr>
        <w:tblPrEx>
          <w:tblCellMar>
            <w:top w:w="0" w:type="dxa"/>
            <w:left w:w="0" w:type="dxa"/>
            <w:bottom w:w="0" w:type="dxa"/>
            <w:right w:w="0" w:type="dxa"/>
          </w:tblCellMar>
        </w:tblPrEx>
        <w:trPr>
          <w:trHeight w:val="57" w:hRule="atLeast"/>
          <w:jc w:val="center"/>
        </w:trPr>
        <w:tc>
          <w:tcPr>
            <w:tcW w:w="181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四、荣誉记录（150）</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（十六）专业荣誉（100）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评价企业医药项目所获荣誉情况。</w:t>
            </w:r>
          </w:p>
        </w:tc>
      </w:tr>
      <w:tr>
        <w:tblPrEx>
          <w:tblCellMar>
            <w:top w:w="0" w:type="dxa"/>
            <w:left w:w="0" w:type="dxa"/>
            <w:bottom w:w="0" w:type="dxa"/>
            <w:right w:w="0" w:type="dxa"/>
          </w:tblCellMar>
        </w:tblPrEx>
        <w:trPr>
          <w:trHeight w:val="57" w:hRule="atLeast"/>
          <w:jc w:val="center"/>
        </w:trPr>
        <w:tc>
          <w:tcPr>
            <w:tcW w:w="181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（十七）专业成就（50）</w:t>
            </w:r>
          </w:p>
        </w:tc>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评价企业获得的专业成就记录，如学术成就、参与行业标准制定以及其他专业成就。</w:t>
            </w:r>
          </w:p>
        </w:tc>
      </w:tr>
    </w:tbl>
    <w:p>
      <w:pPr>
        <w:widowControl/>
        <w:textAlignment w:val="center"/>
        <w:rPr>
          <w:rFonts w:ascii="Times New Roman" w:hAnsi="Times New Roman" w:eastAsia="宋体" w:cs="宋体"/>
          <w:b/>
          <w:color w:val="000000"/>
          <w:kern w:val="0"/>
          <w:sz w:val="32"/>
          <w:szCs w:val="32"/>
          <w:lang w:bidi="ar"/>
        </w:rPr>
      </w:pPr>
      <w:r>
        <w:rPr>
          <w:rFonts w:hint="eastAsia" w:ascii="Times New Roman" w:hAnsi="Times New Roman" w:eastAsia="宋体" w:cs="宋体"/>
          <w:b/>
          <w:color w:val="000000"/>
          <w:kern w:val="0"/>
          <w:sz w:val="32"/>
          <w:szCs w:val="32"/>
          <w:lang w:bidi="ar"/>
        </w:rPr>
        <w:br w:type="page"/>
      </w:r>
    </w:p>
    <w:p>
      <w:pPr>
        <w:widowControl/>
        <w:jc w:val="center"/>
        <w:textAlignment w:val="cente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 w:val="0"/>
          <w:bCs w:val="0"/>
          <w:kern w:val="2"/>
          <w:sz w:val="21"/>
          <w:szCs w:val="21"/>
          <w:highlight w:val="none"/>
          <w:lang w:val="en-US" w:eastAsia="zh-CN" w:bidi="ar-SA"/>
        </w:rPr>
        <w:t>表A.3 医药批发类企业专业部分信用评价指标</w:t>
      </w:r>
    </w:p>
    <w:tbl>
      <w:tblPr>
        <w:tblStyle w:val="7"/>
        <w:tblW w:w="9041" w:type="dxa"/>
        <w:jc w:val="center"/>
        <w:tblLayout w:type="fixed"/>
        <w:tblCellMar>
          <w:top w:w="0" w:type="dxa"/>
          <w:left w:w="0" w:type="dxa"/>
          <w:bottom w:w="0" w:type="dxa"/>
          <w:right w:w="0" w:type="dxa"/>
        </w:tblCellMar>
      </w:tblPr>
      <w:tblGrid>
        <w:gridCol w:w="1678"/>
        <w:gridCol w:w="1909"/>
        <w:gridCol w:w="5454"/>
      </w:tblGrid>
      <w:tr>
        <w:tblPrEx>
          <w:tblCellMar>
            <w:top w:w="0" w:type="dxa"/>
            <w:left w:w="0" w:type="dxa"/>
            <w:bottom w:w="0" w:type="dxa"/>
            <w:right w:w="0" w:type="dxa"/>
          </w:tblCellMar>
        </w:tblPrEx>
        <w:trPr>
          <w:trHeight w:val="57" w:hRule="atLeast"/>
          <w:jc w:val="center"/>
        </w:trPr>
        <w:tc>
          <w:tcPr>
            <w:tcW w:w="167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stheme="minorEastAsia"/>
                <w:b/>
                <w:bCs w:val="0"/>
                <w:color w:val="auto"/>
                <w:sz w:val="18"/>
                <w:szCs w:val="18"/>
                <w:lang w:bidi="ar"/>
              </w:rPr>
            </w:pPr>
            <w:r>
              <w:rPr>
                <w:rStyle w:val="11"/>
                <w:rFonts w:hint="eastAsia" w:asciiTheme="minorEastAsia" w:hAnsiTheme="minorEastAsia" w:eastAsiaTheme="minorEastAsia" w:cstheme="minorEastAsia"/>
                <w:b/>
                <w:bCs w:val="0"/>
                <w:sz w:val="18"/>
                <w:szCs w:val="18"/>
                <w:lang w:eastAsia="zh-CN" w:bidi="ar"/>
              </w:rPr>
              <w:t>一级指标</w:t>
            </w:r>
          </w:p>
        </w:tc>
        <w:tc>
          <w:tcPr>
            <w:tcW w:w="1909"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stheme="minorEastAsia"/>
                <w:b/>
                <w:bCs w:val="0"/>
                <w:color w:val="auto"/>
                <w:sz w:val="18"/>
                <w:szCs w:val="18"/>
                <w:lang w:bidi="ar"/>
              </w:rPr>
            </w:pPr>
            <w:r>
              <w:rPr>
                <w:rStyle w:val="11"/>
                <w:rFonts w:hint="eastAsia" w:asciiTheme="minorEastAsia" w:hAnsiTheme="minorEastAsia" w:eastAsiaTheme="minorEastAsia" w:cstheme="minorEastAsia"/>
                <w:b/>
                <w:bCs w:val="0"/>
                <w:sz w:val="18"/>
                <w:szCs w:val="18"/>
                <w:highlight w:val="none"/>
                <w:lang w:eastAsia="zh-CN" w:bidi="ar"/>
              </w:rPr>
              <w:t>二级</w:t>
            </w:r>
            <w:r>
              <w:rPr>
                <w:rStyle w:val="11"/>
                <w:rFonts w:hint="eastAsia" w:asciiTheme="minorEastAsia" w:hAnsiTheme="minorEastAsia" w:eastAsiaTheme="minorEastAsia" w:cstheme="minorEastAsia"/>
                <w:b/>
                <w:bCs w:val="0"/>
                <w:sz w:val="18"/>
                <w:szCs w:val="18"/>
                <w:highlight w:val="none"/>
                <w:lang w:bidi="ar"/>
              </w:rPr>
              <w:t>指标</w:t>
            </w:r>
          </w:p>
        </w:tc>
        <w:tc>
          <w:tcPr>
            <w:tcW w:w="54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stheme="minorEastAsia"/>
                <w:b/>
                <w:bCs w:val="0"/>
                <w:color w:val="auto"/>
                <w:sz w:val="18"/>
                <w:szCs w:val="18"/>
                <w:lang w:bidi="ar"/>
              </w:rPr>
            </w:pPr>
            <w:r>
              <w:rPr>
                <w:rStyle w:val="11"/>
                <w:rFonts w:hint="eastAsia" w:asciiTheme="minorEastAsia" w:hAnsiTheme="minorEastAsia" w:eastAsiaTheme="minorEastAsia" w:cstheme="minorEastAsia"/>
                <w:b/>
                <w:bCs w:val="0"/>
                <w:sz w:val="18"/>
                <w:szCs w:val="18"/>
                <w:highlight w:val="none"/>
                <w:lang w:eastAsia="zh-CN" w:bidi="ar"/>
              </w:rPr>
              <w:t>评价</w:t>
            </w:r>
            <w:r>
              <w:rPr>
                <w:rStyle w:val="11"/>
                <w:rFonts w:hint="eastAsia" w:asciiTheme="minorEastAsia" w:hAnsiTheme="minorEastAsia" w:eastAsiaTheme="minorEastAsia" w:cstheme="minorEastAsia"/>
                <w:b/>
                <w:bCs w:val="0"/>
                <w:sz w:val="18"/>
                <w:szCs w:val="18"/>
                <w:highlight w:val="none"/>
                <w:lang w:bidi="ar"/>
              </w:rPr>
              <w:t>内容</w:t>
            </w:r>
          </w:p>
        </w:tc>
      </w:tr>
      <w:tr>
        <w:tblPrEx>
          <w:tblCellMar>
            <w:top w:w="0" w:type="dxa"/>
            <w:left w:w="0" w:type="dxa"/>
            <w:bottom w:w="0" w:type="dxa"/>
            <w:right w:w="0" w:type="dxa"/>
          </w:tblCellMar>
        </w:tblPrEx>
        <w:trPr>
          <w:trHeight w:val="57" w:hRule="atLeast"/>
          <w:jc w:val="center"/>
        </w:trPr>
        <w:tc>
          <w:tcPr>
            <w:tcW w:w="167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1"/>
                <w:rFonts w:hint="eastAsia" w:asciiTheme="minorEastAsia" w:hAnsiTheme="minorEastAsia" w:eastAsiaTheme="minorEastAsia" w:cstheme="minorEastAsia"/>
                <w:b w:val="0"/>
                <w:bCs/>
                <w:color w:val="auto"/>
                <w:sz w:val="18"/>
                <w:szCs w:val="18"/>
                <w:lang w:eastAsia="zh-CN" w:bidi="ar"/>
              </w:rPr>
              <w:t>一、</w:t>
            </w:r>
            <w:r>
              <w:rPr>
                <w:rStyle w:val="11"/>
                <w:rFonts w:hint="eastAsia" w:asciiTheme="minorEastAsia" w:hAnsiTheme="minorEastAsia" w:eastAsiaTheme="minorEastAsia" w:cstheme="minorEastAsia"/>
                <w:b w:val="0"/>
                <w:bCs/>
                <w:color w:val="auto"/>
                <w:sz w:val="18"/>
                <w:szCs w:val="18"/>
                <w:lang w:bidi="ar"/>
              </w:rPr>
              <w:t>基础素质</w:t>
            </w:r>
            <w:r>
              <w:rPr>
                <w:rStyle w:val="11"/>
                <w:rFonts w:hint="eastAsia" w:asciiTheme="minorEastAsia" w:hAnsiTheme="minorEastAsia" w:eastAsiaTheme="minorEastAsia" w:cstheme="minorEastAsia"/>
                <w:b w:val="0"/>
                <w:bCs/>
                <w:color w:val="auto"/>
                <w:sz w:val="18"/>
                <w:szCs w:val="18"/>
                <w:highlight w:val="none"/>
                <w:lang w:bidi="ar"/>
              </w:rPr>
              <w:t>（</w:t>
            </w:r>
            <w:r>
              <w:rPr>
                <w:rStyle w:val="11"/>
                <w:rFonts w:hint="eastAsia" w:asciiTheme="minorEastAsia" w:hAnsiTheme="minorEastAsia" w:eastAsiaTheme="minorEastAsia" w:cstheme="minorEastAsia"/>
                <w:b w:val="0"/>
                <w:bCs/>
                <w:color w:val="auto"/>
                <w:sz w:val="18"/>
                <w:szCs w:val="18"/>
                <w:highlight w:val="none"/>
                <w:lang w:val="en-US" w:eastAsia="zh-CN" w:bidi="ar"/>
              </w:rPr>
              <w:t>300</w:t>
            </w:r>
            <w:r>
              <w:rPr>
                <w:rStyle w:val="11"/>
                <w:rFonts w:hint="eastAsia" w:asciiTheme="minorEastAsia" w:hAnsiTheme="minorEastAsia" w:eastAsiaTheme="minorEastAsia" w:cstheme="minorEastAsia"/>
                <w:b w:val="0"/>
                <w:bCs/>
                <w:color w:val="auto"/>
                <w:sz w:val="18"/>
                <w:szCs w:val="18"/>
                <w:highlight w:val="none"/>
                <w:lang w:bidi="ar"/>
              </w:rPr>
              <w:t>）</w:t>
            </w: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（一）仓库状况（70）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评价企业药品储存仓库状况。</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val="en-US" w:eastAsia="zh-CN" w:bidi="ar"/>
              </w:rPr>
            </w:pP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（二）仓库产权（30）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评价仓库产权情况。</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val="en-US" w:eastAsia="zh-CN" w:bidi="ar"/>
              </w:rPr>
            </w:pP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（三）配送能力（60）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评价企业配送能力情况。</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val="en-US" w:eastAsia="zh-CN" w:bidi="ar"/>
              </w:rPr>
            </w:pP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Theme="minorEastAsia" w:hAnsiTheme="minorEastAsia" w:eastAsiaTheme="minorEastAsia" w:cstheme="minorEastAsia"/>
                <w:b w:val="0"/>
                <w:bCs/>
                <w:color w:val="auto"/>
                <w:kern w:val="2"/>
                <w:sz w:val="18"/>
                <w:szCs w:val="18"/>
                <w:highlight w:val="none"/>
                <w:u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（四）员工素质（40）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Theme="minorEastAsia" w:hAnsiTheme="minorEastAsia" w:eastAsiaTheme="minorEastAsia" w:cstheme="minorEastAsia"/>
                <w:b w:val="0"/>
                <w:bCs/>
                <w:color w:val="auto"/>
                <w:kern w:val="2"/>
                <w:sz w:val="18"/>
                <w:szCs w:val="18"/>
                <w:highlight w:val="none"/>
                <w:u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反映企业管理人员能力和其他人员的工作能力、文化培训情况。</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val="en-US" w:eastAsia="zh-CN" w:bidi="ar"/>
              </w:rPr>
            </w:pP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（五）职业资格（50）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评价药学技术人员数量情况。</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（六）管理经验（50）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评价企业高管人员的从业年限。</w:t>
            </w:r>
          </w:p>
        </w:tc>
      </w:tr>
      <w:tr>
        <w:tblPrEx>
          <w:tblCellMar>
            <w:top w:w="0" w:type="dxa"/>
            <w:left w:w="0" w:type="dxa"/>
            <w:bottom w:w="0" w:type="dxa"/>
            <w:right w:w="0" w:type="dxa"/>
          </w:tblCellMar>
        </w:tblPrEx>
        <w:trPr>
          <w:trHeight w:val="57" w:hRule="atLeast"/>
          <w:jc w:val="center"/>
        </w:trPr>
        <w:tc>
          <w:tcPr>
            <w:tcW w:w="167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1"/>
                <w:rFonts w:hint="eastAsia" w:asciiTheme="minorEastAsia" w:hAnsiTheme="minorEastAsia" w:eastAsiaTheme="minorEastAsia" w:cstheme="minorEastAsia"/>
                <w:b w:val="0"/>
                <w:bCs/>
                <w:color w:val="auto"/>
                <w:sz w:val="18"/>
                <w:szCs w:val="18"/>
                <w:highlight w:val="none"/>
                <w:lang w:eastAsia="zh-CN" w:bidi="ar"/>
              </w:rPr>
              <w:t>二、</w:t>
            </w:r>
            <w:r>
              <w:rPr>
                <w:rStyle w:val="11"/>
                <w:rFonts w:hint="eastAsia" w:asciiTheme="minorEastAsia" w:hAnsiTheme="minorEastAsia" w:eastAsiaTheme="minorEastAsia" w:cstheme="minorEastAsia"/>
                <w:b w:val="0"/>
                <w:bCs/>
                <w:color w:val="auto"/>
                <w:sz w:val="18"/>
                <w:szCs w:val="18"/>
                <w:highlight w:val="none"/>
                <w:lang w:bidi="ar"/>
              </w:rPr>
              <w:t>经营概况（</w:t>
            </w:r>
            <w:r>
              <w:rPr>
                <w:rStyle w:val="11"/>
                <w:rFonts w:hint="eastAsia" w:asciiTheme="minorEastAsia" w:hAnsiTheme="minorEastAsia" w:eastAsiaTheme="minorEastAsia" w:cstheme="minorEastAsia"/>
                <w:b w:val="0"/>
                <w:bCs/>
                <w:color w:val="auto"/>
                <w:sz w:val="18"/>
                <w:szCs w:val="18"/>
                <w:highlight w:val="none"/>
                <w:lang w:val="en-US" w:eastAsia="zh-CN" w:bidi="ar"/>
              </w:rPr>
              <w:t>400</w:t>
            </w:r>
            <w:r>
              <w:rPr>
                <w:rStyle w:val="11"/>
                <w:rFonts w:hint="eastAsia" w:asciiTheme="minorEastAsia" w:hAnsiTheme="minorEastAsia" w:eastAsiaTheme="minorEastAsia" w:cstheme="minorEastAsia"/>
                <w:b w:val="0"/>
                <w:bCs/>
                <w:color w:val="auto"/>
                <w:sz w:val="18"/>
                <w:szCs w:val="18"/>
                <w:highlight w:val="none"/>
                <w:lang w:bidi="ar"/>
              </w:rPr>
              <w:t>）</w:t>
            </w:r>
          </w:p>
        </w:tc>
        <w:tc>
          <w:tcPr>
            <w:tcW w:w="190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（七）药品品规数量（60）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评价企业药品品规数量情况。</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（八）供货能力（60）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评价企业的供应商情况。</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（九）销售网络（60）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评价企业销售网络布局情况。</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（十）销售渠道（60）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评价企业销售渠道是否单一。</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（十一）信息化程度（60）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评价企业购销存、财务、仓储运输、质量管理系统等信息化建设情况。</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（十二）资产运营能力（100）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应收账款周转率=营业收入净额/平均应收账款余额</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流动资产周转率=营业收入净额/平均流动资产总额</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总资产周转率=营业收入净额/平均资产总额</w:t>
            </w:r>
          </w:p>
        </w:tc>
      </w:tr>
      <w:tr>
        <w:tblPrEx>
          <w:tblCellMar>
            <w:top w:w="0" w:type="dxa"/>
            <w:left w:w="0" w:type="dxa"/>
            <w:bottom w:w="0" w:type="dxa"/>
            <w:right w:w="0" w:type="dxa"/>
          </w:tblCellMar>
        </w:tblPrEx>
        <w:trPr>
          <w:trHeight w:val="57" w:hRule="atLeast"/>
          <w:jc w:val="center"/>
        </w:trPr>
        <w:tc>
          <w:tcPr>
            <w:tcW w:w="167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1"/>
                <w:rFonts w:hint="eastAsia" w:asciiTheme="minorEastAsia" w:hAnsiTheme="minorEastAsia" w:eastAsiaTheme="minorEastAsia" w:cstheme="minorEastAsia"/>
                <w:b w:val="0"/>
                <w:bCs/>
                <w:color w:val="auto"/>
                <w:sz w:val="18"/>
                <w:szCs w:val="18"/>
                <w:highlight w:val="none"/>
                <w:lang w:eastAsia="zh-CN" w:bidi="ar"/>
              </w:rPr>
              <w:t>三、</w:t>
            </w:r>
            <w:r>
              <w:rPr>
                <w:rStyle w:val="11"/>
                <w:rFonts w:hint="eastAsia" w:asciiTheme="minorEastAsia" w:hAnsiTheme="minorEastAsia" w:eastAsiaTheme="minorEastAsia" w:cstheme="minorEastAsia"/>
                <w:b w:val="0"/>
                <w:bCs/>
                <w:color w:val="auto"/>
                <w:sz w:val="18"/>
                <w:szCs w:val="18"/>
                <w:highlight w:val="none"/>
                <w:lang w:bidi="ar"/>
              </w:rPr>
              <w:t>发展潜力（</w:t>
            </w:r>
            <w:r>
              <w:rPr>
                <w:rStyle w:val="11"/>
                <w:rFonts w:hint="eastAsia" w:asciiTheme="minorEastAsia" w:hAnsiTheme="minorEastAsia" w:eastAsiaTheme="minorEastAsia" w:cstheme="minorEastAsia"/>
                <w:b w:val="0"/>
                <w:bCs/>
                <w:color w:val="auto"/>
                <w:sz w:val="18"/>
                <w:szCs w:val="18"/>
                <w:highlight w:val="none"/>
                <w:lang w:val="en-US" w:eastAsia="zh-CN" w:bidi="ar"/>
              </w:rPr>
              <w:t>200</w:t>
            </w:r>
            <w:r>
              <w:rPr>
                <w:rStyle w:val="11"/>
                <w:rFonts w:hint="eastAsia" w:asciiTheme="minorEastAsia" w:hAnsiTheme="minorEastAsia" w:eastAsiaTheme="minorEastAsia" w:cstheme="minorEastAsia"/>
                <w:b w:val="0"/>
                <w:bCs/>
                <w:color w:val="auto"/>
                <w:sz w:val="18"/>
                <w:szCs w:val="18"/>
                <w:highlight w:val="none"/>
                <w:lang w:bidi="ar"/>
              </w:rPr>
              <w:t>）</w:t>
            </w:r>
          </w:p>
        </w:tc>
        <w:tc>
          <w:tcPr>
            <w:tcW w:w="190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（十三）成长能力（100）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营业收入增长率=（本期营业收入-上期营业收入）/上期营业收入*100%</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利润增长率=（本期利润-上期利润）/上期利润*100%</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资本保值增值率=（年末所有者权益/年初所有者权益）*100%</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（十四）</w:t>
            </w:r>
            <w:r>
              <w:rPr>
                <w:rStyle w:val="12"/>
                <w:rFonts w:hint="eastAsia" w:asciiTheme="minorEastAsia" w:hAnsiTheme="minorEastAsia" w:cstheme="minorEastAsia"/>
                <w:b w:val="0"/>
                <w:bCs/>
                <w:color w:val="auto"/>
                <w:sz w:val="18"/>
                <w:szCs w:val="18"/>
                <w:highlight w:val="none"/>
                <w:lang w:val="en-US" w:eastAsia="zh-CN" w:bidi="ar"/>
              </w:rPr>
              <w:t>宏观</w:t>
            </w:r>
            <w:r>
              <w:rPr>
                <w:rStyle w:val="12"/>
                <w:rFonts w:hint="eastAsia" w:asciiTheme="minorEastAsia" w:hAnsiTheme="minorEastAsia" w:eastAsiaTheme="minorEastAsia" w:cstheme="minorEastAsia"/>
                <w:b w:val="0"/>
                <w:bCs/>
                <w:color w:val="auto"/>
                <w:sz w:val="18"/>
                <w:szCs w:val="18"/>
                <w:highlight w:val="none"/>
                <w:lang w:val="en-US" w:eastAsia="zh-CN" w:bidi="ar"/>
              </w:rPr>
              <w:t>环境（50）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评价宏观发展环境</w:t>
            </w:r>
            <w:r>
              <w:rPr>
                <w:rStyle w:val="12"/>
                <w:rFonts w:hint="eastAsia" w:asciiTheme="minorEastAsia" w:hAnsiTheme="minorEastAsia" w:cstheme="minorEastAsia"/>
                <w:b w:val="0"/>
                <w:bCs/>
                <w:color w:val="auto"/>
                <w:sz w:val="18"/>
                <w:szCs w:val="18"/>
                <w:highlight w:val="none"/>
                <w:lang w:val="en-US" w:eastAsia="zh-CN" w:bidi="ar"/>
              </w:rPr>
              <w:t>对企业经营的影响</w:t>
            </w:r>
            <w:r>
              <w:rPr>
                <w:rStyle w:val="12"/>
                <w:rFonts w:hint="eastAsia" w:asciiTheme="minorEastAsia" w:hAnsiTheme="minorEastAsia" w:eastAsiaTheme="minorEastAsia" w:cstheme="minorEastAsia"/>
                <w:b w:val="0"/>
                <w:bCs/>
                <w:color w:val="auto"/>
                <w:sz w:val="18"/>
                <w:szCs w:val="18"/>
                <w:highlight w:val="none"/>
                <w:lang w:val="en-US" w:eastAsia="zh-CN" w:bidi="ar"/>
              </w:rPr>
              <w:t>。</w:t>
            </w:r>
          </w:p>
        </w:tc>
      </w:tr>
      <w:tr>
        <w:tblPrEx>
          <w:tblCellMar>
            <w:top w:w="0" w:type="dxa"/>
            <w:left w:w="0" w:type="dxa"/>
            <w:bottom w:w="0" w:type="dxa"/>
            <w:right w:w="0" w:type="dxa"/>
          </w:tblCellMar>
        </w:tblPrEx>
        <w:trPr>
          <w:trHeight w:val="57" w:hRule="atLeast"/>
          <w:jc w:val="center"/>
        </w:trPr>
        <w:tc>
          <w:tcPr>
            <w:tcW w:w="167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（十五）发展规划及措施（50）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评价企业3-5年规划、长远规划及保障措施等。</w:t>
            </w:r>
          </w:p>
        </w:tc>
      </w:tr>
      <w:tr>
        <w:tblPrEx>
          <w:tblCellMar>
            <w:top w:w="0" w:type="dxa"/>
            <w:left w:w="0" w:type="dxa"/>
            <w:bottom w:w="0" w:type="dxa"/>
            <w:right w:w="0" w:type="dxa"/>
          </w:tblCellMar>
        </w:tblPrEx>
        <w:trPr>
          <w:trHeight w:val="57" w:hRule="atLeast"/>
          <w:jc w:val="center"/>
        </w:trPr>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auto"/>
                <w:kern w:val="0"/>
                <w:sz w:val="18"/>
                <w:szCs w:val="18"/>
                <w:lang w:bidi="ar"/>
              </w:rPr>
            </w:pPr>
            <w:r>
              <w:rPr>
                <w:rStyle w:val="11"/>
                <w:rFonts w:hint="eastAsia" w:asciiTheme="minorEastAsia" w:hAnsiTheme="minorEastAsia" w:eastAsiaTheme="minorEastAsia" w:cstheme="minorEastAsia"/>
                <w:b w:val="0"/>
                <w:bCs/>
                <w:color w:val="auto"/>
                <w:sz w:val="18"/>
                <w:szCs w:val="18"/>
                <w:highlight w:val="none"/>
                <w:lang w:eastAsia="zh-CN" w:bidi="ar"/>
              </w:rPr>
              <w:t>四、</w:t>
            </w:r>
            <w:r>
              <w:rPr>
                <w:rStyle w:val="11"/>
                <w:rFonts w:hint="eastAsia" w:asciiTheme="minorEastAsia" w:hAnsiTheme="minorEastAsia" w:eastAsiaTheme="minorEastAsia" w:cstheme="minorEastAsia"/>
                <w:b w:val="0"/>
                <w:bCs/>
                <w:color w:val="auto"/>
                <w:sz w:val="18"/>
                <w:szCs w:val="18"/>
                <w:highlight w:val="none"/>
                <w:lang w:bidi="ar"/>
              </w:rPr>
              <w:t>公共卫生职能（</w:t>
            </w:r>
            <w:r>
              <w:rPr>
                <w:rStyle w:val="11"/>
                <w:rFonts w:hint="eastAsia" w:asciiTheme="minorEastAsia" w:hAnsiTheme="minorEastAsia" w:eastAsiaTheme="minorEastAsia" w:cstheme="minorEastAsia"/>
                <w:b w:val="0"/>
                <w:bCs/>
                <w:color w:val="auto"/>
                <w:sz w:val="18"/>
                <w:szCs w:val="18"/>
                <w:highlight w:val="none"/>
                <w:lang w:val="en-US" w:eastAsia="zh-CN" w:bidi="ar"/>
              </w:rPr>
              <w:t>10</w:t>
            </w:r>
            <w:r>
              <w:rPr>
                <w:rStyle w:val="11"/>
                <w:rFonts w:hint="eastAsia" w:asciiTheme="minorEastAsia" w:hAnsiTheme="minorEastAsia" w:eastAsiaTheme="minorEastAsia" w:cstheme="minorEastAsia"/>
                <w:b w:val="0"/>
                <w:bCs/>
                <w:color w:val="auto"/>
                <w:sz w:val="18"/>
                <w:szCs w:val="18"/>
                <w:highlight w:val="none"/>
                <w:lang w:bidi="ar"/>
              </w:rPr>
              <w:t>0）</w:t>
            </w:r>
          </w:p>
        </w:tc>
        <w:tc>
          <w:tcPr>
            <w:tcW w:w="1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（十六）职能承担（100）</w:t>
            </w:r>
          </w:p>
        </w:tc>
        <w:tc>
          <w:tcPr>
            <w:tcW w:w="5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评价企业在经营过程中承担的公共卫生职能。</w:t>
            </w:r>
          </w:p>
        </w:tc>
      </w:tr>
    </w:tbl>
    <w:p>
      <w:pPr>
        <w:widowControl/>
        <w:textAlignment w:val="center"/>
        <w:rPr>
          <w:rFonts w:hint="eastAsia" w:ascii="Times New Roman" w:hAnsi="Times New Roman" w:eastAsia="仿宋" w:cs="仿宋"/>
          <w:bCs/>
          <w:sz w:val="32"/>
          <w:szCs w:val="32"/>
        </w:rPr>
      </w:pPr>
    </w:p>
    <w:p>
      <w:pPr>
        <w:pStyle w:val="2"/>
        <w:rPr>
          <w:rFonts w:hint="eastAsia" w:ascii="Times New Roman" w:hAnsi="Times New Roman" w:eastAsia="仿宋" w:cs="仿宋"/>
          <w:bCs/>
          <w:sz w:val="32"/>
          <w:szCs w:val="32"/>
        </w:rPr>
      </w:pPr>
    </w:p>
    <w:p>
      <w:pPr>
        <w:pStyle w:val="2"/>
        <w:rPr>
          <w:rFonts w:hint="eastAsia" w:ascii="Times New Roman" w:hAnsi="Times New Roman" w:eastAsia="仿宋" w:cs="仿宋"/>
          <w:bCs/>
          <w:sz w:val="32"/>
          <w:szCs w:val="32"/>
        </w:rPr>
      </w:pPr>
    </w:p>
    <w:p>
      <w:pPr>
        <w:pStyle w:val="2"/>
        <w:rPr>
          <w:rFonts w:hint="eastAsia" w:ascii="Times New Roman" w:hAnsi="Times New Roman" w:eastAsia="仿宋" w:cs="仿宋"/>
          <w:bCs/>
          <w:sz w:val="32"/>
          <w:szCs w:val="32"/>
        </w:rPr>
      </w:pPr>
    </w:p>
    <w:p>
      <w:pPr>
        <w:rPr>
          <w:rFonts w:hint="eastAsia" w:ascii="Times New Roman" w:hAnsi="Times New Roman" w:eastAsia="仿宋" w:cs="仿宋"/>
          <w:bCs/>
          <w:sz w:val="32"/>
          <w:szCs w:val="32"/>
        </w:rPr>
      </w:pPr>
      <w:r>
        <w:rPr>
          <w:rFonts w:hint="eastAsia" w:ascii="Times New Roman" w:hAnsi="Times New Roman" w:eastAsia="仿宋" w:cs="仿宋"/>
          <w:bCs/>
          <w:sz w:val="32"/>
          <w:szCs w:val="32"/>
        </w:rPr>
        <w:br w:type="page"/>
      </w:r>
    </w:p>
    <w:p>
      <w:pPr>
        <w:widowControl/>
        <w:jc w:val="center"/>
        <w:textAlignment w:val="center"/>
        <w:rPr>
          <w:rFonts w:hint="eastAsia" w:ascii="Times New Roman" w:hAnsi="Times New Roman" w:eastAsia="仿宋" w:cs="仿宋"/>
          <w:bCs/>
          <w:sz w:val="32"/>
          <w:szCs w:val="32"/>
          <w:lang w:eastAsia="zh-CN"/>
        </w:rPr>
      </w:pPr>
      <w:r>
        <w:rPr>
          <w:rFonts w:hint="eastAsia" w:asciiTheme="minorEastAsia" w:hAnsiTheme="minorEastAsia" w:eastAsiaTheme="minorEastAsia" w:cstheme="minorEastAsia"/>
          <w:b w:val="0"/>
          <w:bCs w:val="0"/>
          <w:kern w:val="2"/>
          <w:sz w:val="21"/>
          <w:szCs w:val="21"/>
          <w:highlight w:val="none"/>
          <w:lang w:val="en-US" w:eastAsia="zh-CN" w:bidi="ar-SA"/>
        </w:rPr>
        <w:t>表A.4 医药零售连锁企业专业部分信用评价指标</w:t>
      </w:r>
    </w:p>
    <w:tbl>
      <w:tblPr>
        <w:tblStyle w:val="7"/>
        <w:tblW w:w="8842" w:type="dxa"/>
        <w:jc w:val="center"/>
        <w:tblLayout w:type="fixed"/>
        <w:tblCellMar>
          <w:top w:w="0" w:type="dxa"/>
          <w:left w:w="0" w:type="dxa"/>
          <w:bottom w:w="0" w:type="dxa"/>
          <w:right w:w="0" w:type="dxa"/>
        </w:tblCellMar>
      </w:tblPr>
      <w:tblGrid>
        <w:gridCol w:w="1480"/>
        <w:gridCol w:w="1912"/>
        <w:gridCol w:w="5450"/>
      </w:tblGrid>
      <w:tr>
        <w:tblPrEx>
          <w:tblCellMar>
            <w:top w:w="0" w:type="dxa"/>
            <w:left w:w="0" w:type="dxa"/>
            <w:bottom w:w="0" w:type="dxa"/>
            <w:right w:w="0" w:type="dxa"/>
          </w:tblCellMar>
        </w:tblPrEx>
        <w:trPr>
          <w:trHeight w:val="57" w:hRule="atLeast"/>
          <w:jc w:val="center"/>
        </w:trPr>
        <w:tc>
          <w:tcPr>
            <w:tcW w:w="14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stheme="minorEastAsia"/>
                <w:b/>
                <w:bCs w:val="0"/>
                <w:sz w:val="18"/>
                <w:szCs w:val="18"/>
                <w:lang w:bidi="ar"/>
              </w:rPr>
            </w:pPr>
            <w:r>
              <w:rPr>
                <w:rStyle w:val="11"/>
                <w:rFonts w:hint="eastAsia" w:asciiTheme="minorEastAsia" w:hAnsiTheme="minorEastAsia" w:eastAsiaTheme="minorEastAsia" w:cstheme="minorEastAsia"/>
                <w:b/>
                <w:bCs w:val="0"/>
                <w:sz w:val="18"/>
                <w:szCs w:val="18"/>
                <w:lang w:eastAsia="zh-CN" w:bidi="ar"/>
              </w:rPr>
              <w:t>一级指标</w:t>
            </w:r>
          </w:p>
        </w:tc>
        <w:tc>
          <w:tcPr>
            <w:tcW w:w="1912"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stheme="minorEastAsia"/>
                <w:b/>
                <w:bCs w:val="0"/>
                <w:sz w:val="18"/>
                <w:szCs w:val="18"/>
                <w:lang w:bidi="ar"/>
              </w:rPr>
            </w:pPr>
            <w:r>
              <w:rPr>
                <w:rStyle w:val="11"/>
                <w:rFonts w:hint="eastAsia" w:asciiTheme="minorEastAsia" w:hAnsiTheme="minorEastAsia" w:eastAsiaTheme="minorEastAsia" w:cstheme="minorEastAsia"/>
                <w:b/>
                <w:bCs w:val="0"/>
                <w:sz w:val="18"/>
                <w:szCs w:val="18"/>
                <w:highlight w:val="none"/>
                <w:lang w:eastAsia="zh-CN" w:bidi="ar"/>
              </w:rPr>
              <w:t>二级</w:t>
            </w:r>
            <w:r>
              <w:rPr>
                <w:rStyle w:val="11"/>
                <w:rFonts w:hint="eastAsia" w:asciiTheme="minorEastAsia" w:hAnsiTheme="minorEastAsia" w:eastAsiaTheme="minorEastAsia" w:cstheme="minorEastAsia"/>
                <w:b/>
                <w:bCs w:val="0"/>
                <w:sz w:val="18"/>
                <w:szCs w:val="18"/>
                <w:highlight w:val="none"/>
                <w:lang w:bidi="ar"/>
              </w:rPr>
              <w:t>指标</w:t>
            </w:r>
          </w:p>
        </w:tc>
        <w:tc>
          <w:tcPr>
            <w:tcW w:w="5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stheme="minorEastAsia"/>
                <w:b/>
                <w:bCs w:val="0"/>
                <w:sz w:val="18"/>
                <w:szCs w:val="18"/>
                <w:lang w:bidi="ar"/>
              </w:rPr>
            </w:pPr>
            <w:r>
              <w:rPr>
                <w:rStyle w:val="11"/>
                <w:rFonts w:hint="eastAsia" w:asciiTheme="minorEastAsia" w:hAnsiTheme="minorEastAsia" w:eastAsiaTheme="minorEastAsia" w:cstheme="minorEastAsia"/>
                <w:b/>
                <w:bCs w:val="0"/>
                <w:sz w:val="18"/>
                <w:szCs w:val="18"/>
                <w:highlight w:val="none"/>
                <w:lang w:eastAsia="zh-CN" w:bidi="ar"/>
              </w:rPr>
              <w:t>评价</w:t>
            </w:r>
            <w:r>
              <w:rPr>
                <w:rStyle w:val="11"/>
                <w:rFonts w:hint="eastAsia" w:asciiTheme="minorEastAsia" w:hAnsiTheme="minorEastAsia" w:eastAsiaTheme="minorEastAsia" w:cstheme="minorEastAsia"/>
                <w:b/>
                <w:bCs w:val="0"/>
                <w:sz w:val="18"/>
                <w:szCs w:val="18"/>
                <w:highlight w:val="none"/>
                <w:lang w:bidi="ar"/>
              </w:rPr>
              <w:t>内容</w:t>
            </w:r>
          </w:p>
        </w:tc>
      </w:tr>
      <w:tr>
        <w:tblPrEx>
          <w:tblCellMar>
            <w:top w:w="0" w:type="dxa"/>
            <w:left w:w="0" w:type="dxa"/>
            <w:bottom w:w="0" w:type="dxa"/>
            <w:right w:w="0" w:type="dxa"/>
          </w:tblCellMar>
        </w:tblPrEx>
        <w:trPr>
          <w:trHeight w:val="57" w:hRule="atLeast"/>
          <w:jc w:val="center"/>
        </w:trPr>
        <w:tc>
          <w:tcPr>
            <w:tcW w:w="14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1"/>
                <w:rFonts w:hint="eastAsia" w:asciiTheme="minorEastAsia" w:hAnsiTheme="minorEastAsia" w:eastAsiaTheme="minorEastAsia" w:cstheme="minorEastAsia"/>
                <w:b w:val="0"/>
                <w:bCs/>
                <w:sz w:val="18"/>
                <w:szCs w:val="18"/>
                <w:lang w:eastAsia="zh-CN" w:bidi="ar"/>
              </w:rPr>
              <w:t>一、</w:t>
            </w:r>
            <w:r>
              <w:rPr>
                <w:rStyle w:val="11"/>
                <w:rFonts w:hint="eastAsia" w:asciiTheme="minorEastAsia" w:hAnsiTheme="minorEastAsia" w:eastAsiaTheme="minorEastAsia" w:cstheme="minorEastAsia"/>
                <w:b w:val="0"/>
                <w:bCs/>
                <w:sz w:val="18"/>
                <w:szCs w:val="18"/>
                <w:lang w:bidi="ar"/>
              </w:rPr>
              <w:t>基础素质（</w:t>
            </w:r>
            <w:r>
              <w:rPr>
                <w:rStyle w:val="11"/>
                <w:rFonts w:hint="eastAsia" w:asciiTheme="minorEastAsia" w:hAnsiTheme="minorEastAsia" w:eastAsiaTheme="minorEastAsia" w:cstheme="minorEastAsia"/>
                <w:b w:val="0"/>
                <w:bCs/>
                <w:sz w:val="18"/>
                <w:szCs w:val="18"/>
                <w:lang w:val="en-US" w:eastAsia="zh-CN" w:bidi="ar"/>
              </w:rPr>
              <w:t>30</w:t>
            </w:r>
            <w:r>
              <w:rPr>
                <w:rStyle w:val="11"/>
                <w:rFonts w:hint="eastAsia" w:asciiTheme="minorEastAsia" w:hAnsiTheme="minorEastAsia" w:eastAsiaTheme="minorEastAsia" w:cstheme="minorEastAsia"/>
                <w:b w:val="0"/>
                <w:bCs/>
                <w:sz w:val="18"/>
                <w:szCs w:val="18"/>
                <w:lang w:bidi="ar"/>
              </w:rPr>
              <w:t>0）</w:t>
            </w: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（一）直营门店（40）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评价企业直营药品零售门店数量。</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（二）加盟门店（40）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评价企业加盟药品零售门店数量。</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（三）仓库状况（40）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评价企业配送中心药品储存仓库状况。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（四）门店状况（40）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评价企业门店的硬件情况。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（五）认证情况（30）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评价企业取得资质认证情况。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Theme="minorEastAsia" w:hAnsiTheme="minorEastAsia" w:eastAsiaTheme="minorEastAsia" w:cstheme="minorEastAsia"/>
                <w:b w:val="0"/>
                <w:bCs/>
                <w:color w:val="auto"/>
                <w:kern w:val="2"/>
                <w:sz w:val="18"/>
                <w:szCs w:val="18"/>
                <w:highlight w:val="none"/>
                <w:u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（六）员工素质（30）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Theme="minorEastAsia" w:hAnsiTheme="minorEastAsia" w:eastAsiaTheme="minorEastAsia" w:cstheme="minorEastAsia"/>
                <w:b w:val="0"/>
                <w:bCs/>
                <w:color w:val="auto"/>
                <w:kern w:val="2"/>
                <w:sz w:val="18"/>
                <w:szCs w:val="18"/>
                <w:highlight w:val="none"/>
                <w:u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反映企业管理人员能力和其他人员的工作能力、文化培训情况。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（七）职业资格（40）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评价药学技术人员数量情况。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（八）管理经验（40）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评价企业高管人员的从业年限。</w:t>
            </w:r>
          </w:p>
        </w:tc>
      </w:tr>
      <w:tr>
        <w:tblPrEx>
          <w:tblCellMar>
            <w:top w:w="0" w:type="dxa"/>
            <w:left w:w="0" w:type="dxa"/>
            <w:bottom w:w="0" w:type="dxa"/>
            <w:right w:w="0" w:type="dxa"/>
          </w:tblCellMar>
        </w:tblPrEx>
        <w:trPr>
          <w:trHeight w:val="57" w:hRule="atLeast"/>
          <w:jc w:val="center"/>
        </w:trPr>
        <w:tc>
          <w:tcPr>
            <w:tcW w:w="14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1"/>
                <w:rFonts w:hint="eastAsia" w:asciiTheme="minorEastAsia" w:hAnsiTheme="minorEastAsia" w:eastAsiaTheme="minorEastAsia" w:cstheme="minorEastAsia"/>
                <w:b w:val="0"/>
                <w:bCs/>
                <w:sz w:val="18"/>
                <w:szCs w:val="18"/>
                <w:lang w:eastAsia="zh-CN" w:bidi="ar"/>
              </w:rPr>
              <w:t>二、</w:t>
            </w:r>
            <w:r>
              <w:rPr>
                <w:rStyle w:val="11"/>
                <w:rFonts w:hint="eastAsia" w:asciiTheme="minorEastAsia" w:hAnsiTheme="minorEastAsia" w:eastAsiaTheme="minorEastAsia" w:cstheme="minorEastAsia"/>
                <w:b w:val="0"/>
                <w:bCs/>
                <w:sz w:val="18"/>
                <w:szCs w:val="18"/>
                <w:lang w:bidi="ar"/>
              </w:rPr>
              <w:t>经营概况（</w:t>
            </w:r>
            <w:r>
              <w:rPr>
                <w:rStyle w:val="11"/>
                <w:rFonts w:hint="eastAsia" w:asciiTheme="minorEastAsia" w:hAnsiTheme="minorEastAsia" w:eastAsiaTheme="minorEastAsia" w:cstheme="minorEastAsia"/>
                <w:b w:val="0"/>
                <w:bCs/>
                <w:sz w:val="18"/>
                <w:szCs w:val="18"/>
                <w:lang w:val="en-US" w:eastAsia="zh-CN" w:bidi="ar"/>
              </w:rPr>
              <w:t>350</w:t>
            </w:r>
            <w:r>
              <w:rPr>
                <w:rStyle w:val="11"/>
                <w:rFonts w:hint="eastAsia" w:asciiTheme="minorEastAsia" w:hAnsiTheme="minorEastAsia" w:eastAsiaTheme="minorEastAsia" w:cstheme="minorEastAsia"/>
                <w:b w:val="0"/>
                <w:bCs/>
                <w:sz w:val="18"/>
                <w:szCs w:val="18"/>
                <w:lang w:bidi="ar"/>
              </w:rPr>
              <w:t>）</w:t>
            </w:r>
          </w:p>
        </w:tc>
        <w:tc>
          <w:tcPr>
            <w:tcW w:w="1912"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（九）药品品规数量（40）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评价企业药品品规数量情况。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（十）供货能力（40）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评价企业的供应商情况。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（十一）销售网络（40）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评价企业门店销售网络布局情况。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（十二）品牌形象（50）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评价企业品牌形象和整体影响力。</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（十三）信息公示（40）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评价企业门店对药品品类、价格、负责人员等相关信息的公示情况。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（十四）信息化程度（40）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评价企业购销存、财务、仓储运输、质量管理系统等信息化建设情况。</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（十五）资产运营能力（100）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应收账款周转率=营业收入净额/平均应收账款余额</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91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流动资产周转率=营业收入净额/平均流动资产总额</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191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总资产周转率=营业收入净额/平均资产总额</w:t>
            </w:r>
          </w:p>
        </w:tc>
      </w:tr>
      <w:tr>
        <w:tblPrEx>
          <w:tblCellMar>
            <w:top w:w="0" w:type="dxa"/>
            <w:left w:w="0" w:type="dxa"/>
            <w:bottom w:w="0" w:type="dxa"/>
            <w:right w:w="0" w:type="dxa"/>
          </w:tblCellMar>
        </w:tblPrEx>
        <w:trPr>
          <w:trHeight w:val="57" w:hRule="atLeast"/>
          <w:jc w:val="center"/>
        </w:trPr>
        <w:tc>
          <w:tcPr>
            <w:tcW w:w="14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1"/>
                <w:rFonts w:hint="eastAsia" w:asciiTheme="minorEastAsia" w:hAnsiTheme="minorEastAsia" w:eastAsiaTheme="minorEastAsia" w:cstheme="minorEastAsia"/>
                <w:b w:val="0"/>
                <w:bCs/>
                <w:sz w:val="18"/>
                <w:szCs w:val="18"/>
                <w:lang w:eastAsia="zh-CN" w:bidi="ar"/>
              </w:rPr>
              <w:t>三、</w:t>
            </w:r>
            <w:r>
              <w:rPr>
                <w:rStyle w:val="11"/>
                <w:rFonts w:hint="eastAsia" w:asciiTheme="minorEastAsia" w:hAnsiTheme="minorEastAsia" w:eastAsiaTheme="minorEastAsia" w:cstheme="minorEastAsia"/>
                <w:b w:val="0"/>
                <w:bCs/>
                <w:sz w:val="18"/>
                <w:szCs w:val="18"/>
                <w:lang w:bidi="ar"/>
              </w:rPr>
              <w:t>发展潜力（</w:t>
            </w:r>
            <w:r>
              <w:rPr>
                <w:rStyle w:val="11"/>
                <w:rFonts w:hint="eastAsia" w:asciiTheme="minorEastAsia" w:hAnsiTheme="minorEastAsia" w:eastAsiaTheme="minorEastAsia" w:cstheme="minorEastAsia"/>
                <w:b w:val="0"/>
                <w:bCs/>
                <w:sz w:val="18"/>
                <w:szCs w:val="18"/>
                <w:lang w:val="en-US" w:eastAsia="zh-CN" w:bidi="ar"/>
              </w:rPr>
              <w:t>250</w:t>
            </w:r>
            <w:r>
              <w:rPr>
                <w:rStyle w:val="11"/>
                <w:rFonts w:hint="eastAsia" w:asciiTheme="minorEastAsia" w:hAnsiTheme="minorEastAsia" w:eastAsiaTheme="minorEastAsia" w:cstheme="minorEastAsia"/>
                <w:b w:val="0"/>
                <w:bCs/>
                <w:sz w:val="18"/>
                <w:szCs w:val="18"/>
                <w:lang w:bidi="ar"/>
              </w:rPr>
              <w:t>）</w:t>
            </w:r>
          </w:p>
        </w:tc>
        <w:tc>
          <w:tcPr>
            <w:tcW w:w="191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（十六）成长能力（150）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营业收入增长率=（本期营业收入-上期营业收入）/上期营业收入*100%</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利润增长率=（本期利润-上期利润）/上期利润*100%</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资本保值增值率=（年末所有者权益/年初所有者权益）*100%</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（十七）</w:t>
            </w:r>
            <w:r>
              <w:rPr>
                <w:rStyle w:val="12"/>
                <w:rFonts w:hint="eastAsia" w:asciiTheme="minorEastAsia" w:hAnsiTheme="minorEastAsia" w:cstheme="minorEastAsia"/>
                <w:b w:val="0"/>
                <w:bCs/>
                <w:color w:val="auto"/>
                <w:sz w:val="18"/>
                <w:szCs w:val="18"/>
                <w:highlight w:val="none"/>
                <w:lang w:val="en-US" w:eastAsia="zh-CN" w:bidi="ar"/>
              </w:rPr>
              <w:t>宏观</w:t>
            </w:r>
            <w:r>
              <w:rPr>
                <w:rStyle w:val="12"/>
                <w:rFonts w:hint="eastAsia" w:asciiTheme="minorEastAsia" w:hAnsiTheme="minorEastAsia" w:eastAsiaTheme="minorEastAsia" w:cstheme="minorEastAsia"/>
                <w:b w:val="0"/>
                <w:bCs/>
                <w:color w:val="auto"/>
                <w:sz w:val="18"/>
                <w:szCs w:val="18"/>
                <w:highlight w:val="none"/>
                <w:lang w:val="en-US" w:eastAsia="zh-CN" w:bidi="ar"/>
              </w:rPr>
              <w:t>环境（50）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评价宏观发展环境</w:t>
            </w:r>
            <w:r>
              <w:rPr>
                <w:rStyle w:val="12"/>
                <w:rFonts w:hint="eastAsia" w:asciiTheme="minorEastAsia" w:hAnsiTheme="minorEastAsia" w:cstheme="minorEastAsia"/>
                <w:b w:val="0"/>
                <w:bCs/>
                <w:color w:val="auto"/>
                <w:sz w:val="18"/>
                <w:szCs w:val="18"/>
                <w:highlight w:val="none"/>
                <w:lang w:val="en-US" w:eastAsia="zh-CN" w:bidi="ar"/>
              </w:rPr>
              <w:t>对企业经营的影响</w:t>
            </w:r>
            <w:r>
              <w:rPr>
                <w:rStyle w:val="12"/>
                <w:rFonts w:hint="eastAsia" w:asciiTheme="minorEastAsia" w:hAnsiTheme="minorEastAsia" w:eastAsiaTheme="minorEastAsia" w:cstheme="minorEastAsia"/>
                <w:b w:val="0"/>
                <w:bCs/>
                <w:color w:val="auto"/>
                <w:sz w:val="18"/>
                <w:szCs w:val="18"/>
                <w:highlight w:val="none"/>
                <w:lang w:val="en-US" w:eastAsia="zh-CN" w:bidi="ar"/>
              </w:rPr>
              <w:t>。</w:t>
            </w:r>
          </w:p>
        </w:tc>
      </w:tr>
      <w:tr>
        <w:tblPrEx>
          <w:tblCellMar>
            <w:top w:w="0" w:type="dxa"/>
            <w:left w:w="0" w:type="dxa"/>
            <w:bottom w:w="0" w:type="dxa"/>
            <w:right w:w="0" w:type="dxa"/>
          </w:tblCellMar>
        </w:tblPrEx>
        <w:trPr>
          <w:trHeight w:val="57" w:hRule="atLeast"/>
          <w:jc w:val="center"/>
        </w:trPr>
        <w:tc>
          <w:tcPr>
            <w:tcW w:w="14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（十八）发展规划及措施（50）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评价企业3-5年规划、长远规划及保障措施等。</w:t>
            </w:r>
          </w:p>
        </w:tc>
      </w:tr>
      <w:tr>
        <w:tblPrEx>
          <w:tblCellMar>
            <w:top w:w="0" w:type="dxa"/>
            <w:left w:w="0" w:type="dxa"/>
            <w:bottom w:w="0" w:type="dxa"/>
            <w:right w:w="0" w:type="dxa"/>
          </w:tblCellMar>
        </w:tblPrEx>
        <w:trPr>
          <w:trHeight w:val="57" w:hRule="atLeast"/>
          <w:jc w:val="center"/>
        </w:trPr>
        <w:tc>
          <w:tcPr>
            <w:tcW w:w="1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color w:val="000000"/>
                <w:kern w:val="0"/>
                <w:sz w:val="18"/>
                <w:szCs w:val="18"/>
                <w:lang w:bidi="ar"/>
              </w:rPr>
            </w:pPr>
            <w:r>
              <w:rPr>
                <w:rStyle w:val="11"/>
                <w:rFonts w:hint="eastAsia" w:asciiTheme="minorEastAsia" w:hAnsiTheme="minorEastAsia" w:eastAsiaTheme="minorEastAsia" w:cstheme="minorEastAsia"/>
                <w:b w:val="0"/>
                <w:bCs/>
                <w:sz w:val="18"/>
                <w:szCs w:val="18"/>
                <w:lang w:eastAsia="zh-CN" w:bidi="ar"/>
              </w:rPr>
              <w:t>四、</w:t>
            </w:r>
            <w:r>
              <w:rPr>
                <w:rStyle w:val="11"/>
                <w:rFonts w:hint="eastAsia" w:asciiTheme="minorEastAsia" w:hAnsiTheme="minorEastAsia" w:eastAsiaTheme="minorEastAsia" w:cstheme="minorEastAsia"/>
                <w:b w:val="0"/>
                <w:bCs/>
                <w:sz w:val="18"/>
                <w:szCs w:val="18"/>
                <w:lang w:bidi="ar"/>
              </w:rPr>
              <w:t>荣</w:t>
            </w:r>
            <w:r>
              <w:rPr>
                <w:rStyle w:val="11"/>
                <w:rFonts w:hint="eastAsia" w:asciiTheme="minorEastAsia" w:hAnsiTheme="minorEastAsia" w:eastAsiaTheme="minorEastAsia" w:cstheme="minorEastAsia"/>
                <w:b w:val="0"/>
                <w:bCs/>
                <w:color w:val="auto"/>
                <w:sz w:val="18"/>
                <w:szCs w:val="18"/>
                <w:lang w:bidi="ar"/>
              </w:rPr>
              <w:t>誉记录（</w:t>
            </w:r>
            <w:r>
              <w:rPr>
                <w:rStyle w:val="11"/>
                <w:rFonts w:hint="eastAsia" w:asciiTheme="minorEastAsia" w:hAnsiTheme="minorEastAsia" w:eastAsiaTheme="minorEastAsia" w:cstheme="minorEastAsia"/>
                <w:b w:val="0"/>
                <w:bCs/>
                <w:color w:val="auto"/>
                <w:sz w:val="18"/>
                <w:szCs w:val="18"/>
                <w:lang w:val="en-US" w:eastAsia="zh-CN" w:bidi="ar"/>
              </w:rPr>
              <w:t>10</w:t>
            </w:r>
            <w:r>
              <w:rPr>
                <w:rStyle w:val="11"/>
                <w:rFonts w:hint="eastAsia" w:asciiTheme="minorEastAsia" w:hAnsiTheme="minorEastAsia" w:eastAsiaTheme="minorEastAsia" w:cstheme="minorEastAsia"/>
                <w:b w:val="0"/>
                <w:bCs/>
                <w:color w:val="auto"/>
                <w:sz w:val="18"/>
                <w:szCs w:val="18"/>
                <w:lang w:bidi="ar"/>
              </w:rPr>
              <w:t>0）</w:t>
            </w:r>
          </w:p>
        </w:tc>
        <w:tc>
          <w:tcPr>
            <w:tcW w:w="1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（十九）专业成就（100）</w:t>
            </w:r>
          </w:p>
        </w:tc>
        <w:tc>
          <w:tcPr>
            <w:tcW w:w="5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z w:val="18"/>
                <w:szCs w:val="18"/>
                <w:highlight w:val="none"/>
                <w:lang w:val="en-US" w:eastAsia="zh-CN" w:bidi="ar"/>
              </w:rPr>
            </w:pPr>
            <w:r>
              <w:rPr>
                <w:rStyle w:val="12"/>
                <w:rFonts w:hint="eastAsia" w:asciiTheme="minorEastAsia" w:hAnsiTheme="minorEastAsia" w:eastAsiaTheme="minorEastAsia" w:cstheme="minorEastAsia"/>
                <w:b w:val="0"/>
                <w:bCs/>
                <w:color w:val="auto"/>
                <w:sz w:val="18"/>
                <w:szCs w:val="18"/>
                <w:highlight w:val="none"/>
                <w:lang w:val="en-US" w:eastAsia="zh-CN" w:bidi="ar"/>
              </w:rPr>
              <w:t>评价企业获得的专业成就记录，如参与行业标准制定以及其他专业成就荣誉。</w:t>
            </w:r>
          </w:p>
        </w:tc>
      </w:tr>
    </w:tbl>
    <w:p>
      <w:pPr>
        <w:rPr>
          <w:rFonts w:ascii="Times New Roman" w:hAnsi="Times New Roman"/>
        </w:rPr>
      </w:pPr>
      <w:r>
        <w:rPr>
          <w:rFonts w:ascii="Times New Roman" w:hAnsi="Times New Roman"/>
        </w:rPr>
        <w:br w:type="page"/>
      </w:r>
    </w:p>
    <w:p>
      <w:pPr>
        <w:pStyle w:val="10"/>
        <w:keepNext w:val="0"/>
        <w:keepLines w:val="0"/>
        <w:pageBreakBefore w:val="0"/>
        <w:widowControl w:val="0"/>
        <w:kinsoku/>
        <w:wordWrap/>
        <w:overflowPunct/>
        <w:topLinePunct w:val="0"/>
        <w:autoSpaceDE/>
        <w:autoSpaceDN/>
        <w:bidi w:val="0"/>
        <w:adjustRightInd/>
        <w:snapToGrid/>
        <w:ind w:left="108"/>
        <w:jc w:val="center"/>
        <w:textAlignment w:val="auto"/>
        <w:outlineLvl w:val="0"/>
        <w:rPr>
          <w:rFonts w:hint="eastAsia" w:ascii="黑体" w:hAnsi="黑体" w:eastAsia="黑体" w:cs="黑体"/>
          <w:sz w:val="21"/>
          <w:szCs w:val="21"/>
          <w:highlight w:val="none"/>
          <w:lang w:val="en-US" w:eastAsia="zh-CN"/>
        </w:rPr>
      </w:pPr>
      <w:bookmarkStart w:id="61" w:name="_Toc26032"/>
      <w:bookmarkStart w:id="62" w:name="_Toc10184"/>
      <w:r>
        <w:rPr>
          <w:rFonts w:hint="eastAsia" w:ascii="黑体" w:hAnsi="黑体" w:eastAsia="黑体" w:cs="黑体"/>
          <w:sz w:val="21"/>
          <w:szCs w:val="21"/>
          <w:highlight w:val="none"/>
          <w:lang w:val="en-US" w:eastAsia="zh-CN"/>
        </w:rPr>
        <w:t>附录B</w:t>
      </w:r>
      <w:bookmarkEnd w:id="61"/>
      <w:bookmarkEnd w:id="62"/>
    </w:p>
    <w:p>
      <w:pPr>
        <w:pStyle w:val="10"/>
        <w:keepNext w:val="0"/>
        <w:keepLines w:val="0"/>
        <w:pageBreakBefore w:val="0"/>
        <w:widowControl w:val="0"/>
        <w:kinsoku/>
        <w:wordWrap/>
        <w:overflowPunct/>
        <w:topLinePunct w:val="0"/>
        <w:autoSpaceDE/>
        <w:autoSpaceDN/>
        <w:bidi w:val="0"/>
        <w:adjustRightInd/>
        <w:snapToGrid/>
        <w:ind w:left="108"/>
        <w:jc w:val="center"/>
        <w:textAlignment w:val="auto"/>
        <w:outlineLvl w:val="0"/>
        <w:rPr>
          <w:rFonts w:hint="eastAsia" w:ascii="黑体" w:hAnsi="黑体" w:eastAsia="黑体" w:cs="黑体"/>
          <w:sz w:val="21"/>
          <w:szCs w:val="21"/>
          <w:highlight w:val="none"/>
          <w:lang w:val="en-US" w:eastAsia="zh-CN"/>
        </w:rPr>
      </w:pPr>
      <w:bookmarkStart w:id="63" w:name="_Toc24387"/>
      <w:bookmarkStart w:id="64" w:name="_Toc19262"/>
      <w:bookmarkStart w:id="65" w:name="_Toc3530"/>
      <w:r>
        <w:rPr>
          <w:rFonts w:hint="eastAsia" w:ascii="黑体" w:hAnsi="黑体" w:eastAsia="黑体" w:cs="黑体"/>
          <w:sz w:val="21"/>
          <w:szCs w:val="21"/>
          <w:highlight w:val="none"/>
          <w:lang w:val="en-US" w:eastAsia="zh-CN"/>
        </w:rPr>
        <w:t>（规范性）</w:t>
      </w:r>
      <w:bookmarkEnd w:id="63"/>
      <w:bookmarkEnd w:id="64"/>
      <w:bookmarkEnd w:id="65"/>
    </w:p>
    <w:p>
      <w:pPr>
        <w:pStyle w:val="10"/>
        <w:keepNext w:val="0"/>
        <w:keepLines w:val="0"/>
        <w:pageBreakBefore w:val="0"/>
        <w:widowControl w:val="0"/>
        <w:kinsoku/>
        <w:wordWrap/>
        <w:overflowPunct/>
        <w:topLinePunct w:val="0"/>
        <w:autoSpaceDE/>
        <w:autoSpaceDN/>
        <w:bidi w:val="0"/>
        <w:adjustRightInd/>
        <w:snapToGrid/>
        <w:ind w:left="108"/>
        <w:jc w:val="center"/>
        <w:textAlignment w:val="auto"/>
        <w:outlineLvl w:val="0"/>
        <w:rPr>
          <w:rFonts w:hint="eastAsia" w:ascii="Times New Roman" w:hAnsi="Times New Roman" w:eastAsia="黑体" w:cs="黑体"/>
          <w:sz w:val="32"/>
          <w:szCs w:val="32"/>
          <w:highlight w:val="none"/>
          <w:lang w:val="en-US" w:eastAsia="zh-CN"/>
        </w:rPr>
      </w:pPr>
      <w:bookmarkStart w:id="66" w:name="_Toc23771"/>
      <w:bookmarkStart w:id="67" w:name="_Toc28429"/>
      <w:bookmarkStart w:id="68" w:name="_Toc27189"/>
      <w:r>
        <w:rPr>
          <w:rFonts w:hint="eastAsia" w:ascii="黑体" w:hAnsi="黑体" w:eastAsia="黑体" w:cs="黑体"/>
          <w:sz w:val="21"/>
          <w:szCs w:val="21"/>
          <w:highlight w:val="none"/>
          <w:lang w:val="en-US" w:eastAsia="zh-CN"/>
        </w:rPr>
        <w:t>医药企业信用评价报告</w:t>
      </w:r>
      <w:bookmarkEnd w:id="66"/>
      <w:bookmarkEnd w:id="67"/>
      <w:bookmarkEnd w:id="68"/>
    </w:p>
    <w:p>
      <w:pPr>
        <w:pStyle w:val="10"/>
        <w:keepNext w:val="0"/>
        <w:keepLines w:val="0"/>
        <w:pageBreakBefore w:val="0"/>
        <w:widowControl w:val="0"/>
        <w:kinsoku/>
        <w:wordWrap/>
        <w:overflowPunct/>
        <w:topLinePunct w:val="0"/>
        <w:autoSpaceDE/>
        <w:autoSpaceDN/>
        <w:bidi w:val="0"/>
        <w:adjustRightInd/>
        <w:snapToGrid/>
        <w:ind w:left="108"/>
        <w:jc w:val="both"/>
        <w:textAlignment w:val="auto"/>
        <w:rPr>
          <w:rFonts w:hint="eastAsia" w:ascii="Times New Roman" w:hAnsi="Times New Roman" w:eastAsia="黑体" w:cs="黑体"/>
          <w:sz w:val="21"/>
          <w:szCs w:val="21"/>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rPr>
          <w:rFonts w:hint="eastAsia" w:ascii="Times New Roman" w:hAnsi="Times New Roman" w:eastAsia="黑体" w:cs="黑体"/>
          <w:sz w:val="21"/>
          <w:szCs w:val="21"/>
          <w:highlight w:val="none"/>
          <w:lang w:val="en-US" w:eastAsia="zh-CN"/>
        </w:rPr>
      </w:pPr>
      <w:r>
        <w:rPr>
          <w:rFonts w:hint="eastAsia" w:ascii="黑体" w:hAnsi="黑体" w:eastAsia="黑体" w:cs="黑体"/>
          <w:sz w:val="21"/>
          <w:szCs w:val="21"/>
          <w:highlight w:val="none"/>
          <w:lang w:val="en-US" w:eastAsia="zh-CN"/>
        </w:rPr>
        <w:t>B.1 报告组成</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报告由封面、信用报告声明、概述页、正文、附件等部分组成。</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rPr>
          <w:rFonts w:hint="eastAsia" w:ascii="Times New Roman" w:hAnsi="Times New Roman" w:eastAsia="黑体" w:cs="黑体"/>
          <w:sz w:val="21"/>
          <w:szCs w:val="21"/>
          <w:highlight w:val="none"/>
          <w:lang w:val="en-US" w:eastAsia="zh-CN"/>
        </w:rPr>
      </w:pPr>
      <w:r>
        <w:rPr>
          <w:rFonts w:hint="eastAsia" w:ascii="黑体" w:hAnsi="黑体" w:eastAsia="黑体" w:cs="黑体"/>
          <w:sz w:val="21"/>
          <w:szCs w:val="21"/>
          <w:highlight w:val="none"/>
          <w:lang w:val="en-US" w:eastAsia="zh-CN"/>
        </w:rPr>
        <w:t>B.2 封</w:t>
      </w:r>
      <w:r>
        <w:rPr>
          <w:rFonts w:hint="eastAsia" w:ascii="Times New Roman" w:hAnsi="Times New Roman" w:eastAsia="黑体" w:cs="黑体"/>
          <w:sz w:val="21"/>
          <w:szCs w:val="21"/>
          <w:highlight w:val="none"/>
          <w:lang w:val="en-US" w:eastAsia="zh-CN"/>
        </w:rPr>
        <w:t>面</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报告封面主要包括报告名称及编号、医药企业名称、报告出具日期等内容。</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rPr>
          <w:rFonts w:hint="eastAsia" w:ascii="Times New Roman" w:hAnsi="Times New Roman" w:eastAsia="黑体" w:cs="黑体"/>
          <w:sz w:val="21"/>
          <w:szCs w:val="21"/>
          <w:highlight w:val="none"/>
          <w:lang w:val="en-US" w:eastAsia="zh-CN"/>
        </w:rPr>
      </w:pPr>
      <w:r>
        <w:rPr>
          <w:rFonts w:hint="eastAsia" w:ascii="黑体" w:hAnsi="黑体" w:eastAsia="黑体" w:cs="黑体"/>
          <w:sz w:val="21"/>
          <w:szCs w:val="21"/>
          <w:highlight w:val="none"/>
          <w:lang w:val="en-US" w:eastAsia="zh-CN"/>
        </w:rPr>
        <w:t>B.3 信用报告声明</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信用报告声明主要包括信息来源、信息采集截止日期、报告有效期、报告参考标准等内容。</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rPr>
          <w:rFonts w:hint="eastAsia" w:ascii="Times New Roman" w:hAnsi="Times New Roman" w:eastAsia="黑体" w:cs="黑体"/>
          <w:sz w:val="21"/>
          <w:szCs w:val="21"/>
          <w:highlight w:val="none"/>
          <w:lang w:val="en-US" w:eastAsia="zh-CN"/>
        </w:rPr>
      </w:pPr>
      <w:r>
        <w:rPr>
          <w:rFonts w:hint="eastAsia" w:ascii="黑体" w:hAnsi="黑体" w:eastAsia="黑体" w:cs="黑体"/>
          <w:sz w:val="21"/>
          <w:szCs w:val="21"/>
          <w:highlight w:val="none"/>
          <w:lang w:val="en-US" w:eastAsia="zh-CN"/>
        </w:rPr>
        <w:t>B.4 概</w:t>
      </w:r>
      <w:r>
        <w:rPr>
          <w:rFonts w:hint="eastAsia" w:ascii="Times New Roman" w:hAnsi="Times New Roman" w:eastAsia="黑体" w:cs="黑体"/>
          <w:sz w:val="21"/>
          <w:szCs w:val="21"/>
          <w:highlight w:val="none"/>
          <w:lang w:val="en-US" w:eastAsia="zh-CN"/>
        </w:rPr>
        <w:t>述页</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报告概述页主要包括信用等级释义、评价结果及风险提示、报告出具日期、报告有效期限。</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rPr>
          <w:rFonts w:hint="eastAsia" w:ascii="Times New Roman" w:hAnsi="Times New Roman" w:eastAsia="黑体" w:cs="黑体"/>
          <w:sz w:val="21"/>
          <w:szCs w:val="21"/>
          <w:highlight w:val="none"/>
          <w:lang w:val="en-US" w:eastAsia="zh-CN"/>
        </w:rPr>
      </w:pPr>
      <w:r>
        <w:rPr>
          <w:rFonts w:hint="eastAsia" w:ascii="黑体" w:hAnsi="黑体" w:eastAsia="黑体" w:cs="黑体"/>
          <w:sz w:val="21"/>
          <w:szCs w:val="21"/>
          <w:highlight w:val="none"/>
          <w:lang w:val="en-US" w:eastAsia="zh-CN"/>
        </w:rPr>
        <w:t>B.5 正</w:t>
      </w:r>
      <w:r>
        <w:rPr>
          <w:rFonts w:hint="eastAsia" w:ascii="Times New Roman" w:hAnsi="Times New Roman" w:eastAsia="黑体" w:cs="黑体"/>
          <w:sz w:val="21"/>
          <w:szCs w:val="21"/>
          <w:highlight w:val="none"/>
          <w:lang w:val="en-US" w:eastAsia="zh-CN"/>
        </w:rPr>
        <w:t>文</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报告正文包括医药企业介绍、评价流程、信用评价分析、评价权重与结论等内容。</w:t>
      </w:r>
    </w:p>
    <w:p>
      <w:pPr>
        <w:pStyle w:val="10"/>
        <w:keepNext w:val="0"/>
        <w:keepLines w:val="0"/>
        <w:pageBreakBefore w:val="0"/>
        <w:widowControl w:val="0"/>
        <w:kinsoku/>
        <w:wordWrap/>
        <w:overflowPunct/>
        <w:topLinePunct w:val="0"/>
        <w:autoSpaceDE/>
        <w:autoSpaceDN/>
        <w:bidi w:val="0"/>
        <w:adjustRightInd/>
        <w:snapToGrid/>
        <w:spacing w:line="360" w:lineRule="auto"/>
        <w:ind w:left="108"/>
        <w:jc w:val="both"/>
        <w:textAlignment w:val="auto"/>
        <w:rPr>
          <w:rFonts w:hint="eastAsia" w:ascii="Times New Roman" w:hAnsi="Times New Roman" w:eastAsia="黑体" w:cs="黑体"/>
          <w:sz w:val="21"/>
          <w:szCs w:val="21"/>
          <w:highlight w:val="none"/>
          <w:lang w:val="en-US" w:eastAsia="zh-CN"/>
        </w:rPr>
      </w:pPr>
      <w:r>
        <w:rPr>
          <w:rFonts w:hint="eastAsia" w:ascii="黑体" w:hAnsi="黑体" w:eastAsia="黑体" w:cs="黑体"/>
          <w:sz w:val="21"/>
          <w:szCs w:val="21"/>
          <w:highlight w:val="none"/>
          <w:lang w:val="en-US" w:eastAsia="zh-CN"/>
        </w:rPr>
        <w:t>B.6 附</w:t>
      </w:r>
      <w:r>
        <w:rPr>
          <w:rFonts w:hint="eastAsia" w:ascii="Times New Roman" w:hAnsi="Times New Roman" w:eastAsia="黑体" w:cs="黑体"/>
          <w:sz w:val="21"/>
          <w:szCs w:val="21"/>
          <w:highlight w:val="none"/>
          <w:lang w:val="en-US" w:eastAsia="zh-CN"/>
        </w:rPr>
        <w:t>件</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0" w:firstLineChars="200"/>
        <w:jc w:val="both"/>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附件包括信用等级及释义、财务报表等内容。</w:t>
      </w:r>
    </w:p>
    <w:p>
      <w:pP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宋体" w:cs="宋体"/>
          <w:b/>
          <w:bCs/>
          <w:color w:val="auto"/>
          <w:kern w:val="0"/>
          <w:szCs w:val="21"/>
          <w:highlight w:val="none"/>
          <w:lang w:val="en-US" w:eastAsia="zh-CN" w:bidi="ar"/>
        </w:rPr>
      </w:pPr>
      <w:bookmarkStart w:id="69" w:name="_Toc16631"/>
      <w:bookmarkStart w:id="70" w:name="_Toc4349"/>
      <w:r>
        <w:rPr>
          <w:rFonts w:hint="eastAsia" w:ascii="Times New Roman" w:hAnsi="Times New Roman" w:eastAsia="宋体" w:cs="宋体"/>
          <w:b/>
          <w:bCs/>
          <w:color w:val="auto"/>
          <w:spacing w:val="70"/>
          <w:kern w:val="0"/>
          <w:szCs w:val="21"/>
          <w:highlight w:val="none"/>
          <w:fitText w:val="1260" w:id="1885683692"/>
          <w:lang w:val="en-US" w:eastAsia="zh-CN" w:bidi="ar"/>
        </w:rPr>
        <w:t>参考文</w:t>
      </w:r>
      <w:r>
        <w:rPr>
          <w:rFonts w:hint="eastAsia" w:ascii="Times New Roman" w:hAnsi="Times New Roman" w:eastAsia="宋体" w:cs="宋体"/>
          <w:b/>
          <w:bCs/>
          <w:color w:val="auto"/>
          <w:spacing w:val="0"/>
          <w:kern w:val="0"/>
          <w:szCs w:val="21"/>
          <w:highlight w:val="none"/>
          <w:fitText w:val="1260" w:id="1885683692"/>
          <w:lang w:val="en-US" w:eastAsia="zh-CN" w:bidi="ar"/>
        </w:rPr>
        <w:t>献</w:t>
      </w:r>
      <w:bookmarkEnd w:id="69"/>
      <w:bookmarkEnd w:id="70"/>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2" w:firstLineChars="200"/>
        <w:jc w:val="center"/>
        <w:textAlignment w:val="auto"/>
        <w:rPr>
          <w:rFonts w:hint="eastAsia" w:ascii="Times New Roman" w:hAnsi="Times New Roman" w:eastAsia="宋体" w:cs="宋体"/>
          <w:b/>
          <w:bCs/>
          <w:color w:val="auto"/>
          <w:kern w:val="0"/>
          <w:szCs w:val="21"/>
          <w:highlight w:val="none"/>
          <w:lang w:val="en-US" w:eastAsia="zh-CN" w:bidi="ar"/>
        </w:rPr>
      </w:pP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《企业信用等级表示方法》（GB/T 22116-2008）</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《信用 基本术语》（GB/T 22117-2018）</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《企业信用评价指标》（GB/T 23794-2023）</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《企业诚信管理体系 要求》（GB/T 31950-2023）</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《国民经济行业分类》（GB/T 4754—2017）</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《零售药店经营服务规范》（SB/T 10763-2012）</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《药品流通企业关键绩效指标（KPI）体系》（SB/T 11184-2017）</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《医药企业质量提升服务指南》（DB3207/T 2018—2024）</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《中华人民共和国药品管理法》（中华人民共和国主席令第31号）</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《中华人民共和国行政处罚法》（2021年修订版）</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《全国公共信用信息基础目录（2024年版）》</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《国务院办公厅关于促进医药产业健康发展的指导意见》（国办发〔2016〕11号）</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《国务院办公厅关于全面加强药品监管能力建设的实施意见》（国办发〔2021〕16号）</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《关于印发“十四五”医药工业发展规划的通知》（工信部联规〔2021〕217号）</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《四川省社会信用条例》</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《四川省人民政府办公厅关于促进医药产业健康发展的实施意见》（川办发〔2017〕28号）</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120"/>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《四川省企业公共信用综合评价规范（试行，2023年版）》（川数中心函〔2023〕36号）</w:t>
      </w:r>
    </w:p>
    <w:p>
      <w:pPr>
        <w:pStyle w:val="10"/>
        <w:keepNext w:val="0"/>
        <w:keepLines w:val="0"/>
        <w:pageBreakBefore w:val="0"/>
        <w:widowControl w:val="0"/>
        <w:kinsoku/>
        <w:wordWrap/>
        <w:overflowPunct/>
        <w:topLinePunct w:val="0"/>
        <w:autoSpaceDE/>
        <w:autoSpaceDN/>
        <w:bidi w:val="0"/>
        <w:adjustRightInd/>
        <w:snapToGrid/>
        <w:spacing w:line="360" w:lineRule="auto"/>
        <w:ind w:left="108" w:firstLine="422" w:firstLineChars="200"/>
        <w:jc w:val="center"/>
        <w:textAlignment w:val="auto"/>
        <w:rPr>
          <w:rFonts w:hint="eastAsia" w:ascii="Times New Roman" w:hAnsi="Times New Roman" w:eastAsia="宋体" w:cs="宋体"/>
          <w:b/>
          <w:bCs/>
          <w:color w:val="auto"/>
          <w:kern w:val="0"/>
          <w:szCs w:val="21"/>
          <w:highlight w:val="none"/>
          <w:lang w:val="en-US" w:eastAsia="zh-CN" w:bidi="ar"/>
        </w:rPr>
      </w:pPr>
    </w:p>
    <w:p>
      <w:pPr>
        <w:pStyle w:val="3"/>
        <w:spacing w:line="480" w:lineRule="auto"/>
        <w:rPr>
          <w:rFonts w:hint="eastAsia" w:ascii="仿宋" w:hAnsi="仿宋" w:eastAsia="仿宋" w:cs="仿宋"/>
          <w:b w:val="0"/>
          <w:bCs w:val="0"/>
          <w:kern w:val="0"/>
          <w:sz w:val="32"/>
          <w:szCs w:val="32"/>
          <w:lang w:val="en-US" w:eastAsia="zh-CN" w:bidi="ar-SA"/>
        </w:rPr>
      </w:pPr>
    </w:p>
    <w:p>
      <w:pPr>
        <w:pStyle w:val="3"/>
        <w:spacing w:line="480" w:lineRule="auto"/>
        <w:rPr>
          <w:rFonts w:hint="eastAsia" w:ascii="仿宋" w:hAnsi="仿宋" w:eastAsia="仿宋" w:cs="仿宋"/>
          <w:b w:val="0"/>
          <w:bCs w:val="0"/>
          <w:kern w:val="0"/>
          <w:sz w:val="32"/>
          <w:szCs w:val="32"/>
          <w:lang w:val="en-US" w:eastAsia="zh-CN" w:bidi="ar-SA"/>
        </w:rPr>
      </w:pPr>
    </w:p>
    <w:p>
      <w:pPr>
        <w:pStyle w:val="3"/>
        <w:spacing w:line="480" w:lineRule="auto"/>
        <w:rPr>
          <w:rFonts w:hint="eastAsia" w:ascii="仿宋" w:hAnsi="仿宋" w:eastAsia="仿宋" w:cs="仿宋"/>
          <w:b w:val="0"/>
          <w:bCs w:val="0"/>
          <w:kern w:val="0"/>
          <w:sz w:val="32"/>
          <w:szCs w:val="32"/>
          <w:lang w:val="en-US" w:eastAsia="zh-CN" w:bidi="ar-SA"/>
        </w:rPr>
      </w:pPr>
    </w:p>
    <w:p>
      <w:pPr>
        <w:pStyle w:val="3"/>
        <w:spacing w:line="480" w:lineRule="auto"/>
        <w:rPr>
          <w:rFonts w:hint="eastAsia" w:ascii="仿宋" w:hAnsi="仿宋" w:eastAsia="仿宋" w:cs="仿宋"/>
          <w:b w:val="0"/>
          <w:bCs w:val="0"/>
          <w:kern w:val="0"/>
          <w:sz w:val="32"/>
          <w:szCs w:val="32"/>
          <w:lang w:val="en-US" w:eastAsia="zh-CN" w:bidi="ar-SA"/>
        </w:rPr>
      </w:pPr>
    </w:p>
    <w:p>
      <w:pPr>
        <w:pStyle w:val="3"/>
        <w:spacing w:line="480" w:lineRule="auto"/>
        <w:rPr>
          <w:rFonts w:hint="eastAsia" w:ascii="仿宋" w:hAnsi="仿宋" w:eastAsia="仿宋" w:cs="仿宋"/>
          <w:b w:val="0"/>
          <w:bCs w:val="0"/>
          <w:kern w:val="0"/>
          <w:sz w:val="32"/>
          <w:szCs w:val="32"/>
          <w:lang w:val="en-US" w:eastAsia="zh-CN" w:bidi="ar-SA"/>
        </w:rPr>
      </w:pPr>
    </w:p>
    <w:p>
      <w:pPr>
        <w:pStyle w:val="3"/>
        <w:spacing w:line="480" w:lineRule="auto"/>
        <w:rPr>
          <w:rFonts w:hint="eastAsia" w:ascii="仿宋" w:hAnsi="仿宋" w:eastAsia="仿宋" w:cs="仿宋"/>
          <w:b w:val="0"/>
          <w:bCs w:val="0"/>
          <w:kern w:val="0"/>
          <w:sz w:val="32"/>
          <w:szCs w:val="32"/>
          <w:lang w:val="en-US" w:eastAsia="zh-CN" w:bidi="ar-SA"/>
        </w:rPr>
      </w:pPr>
    </w:p>
    <w:p>
      <w:bookmarkStart w:id="71" w:name="_GoBack"/>
      <w:bookmarkEnd w:id="7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1"/>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138"/>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13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C508A"/>
    <w:multiLevelType w:val="singleLevel"/>
    <w:tmpl w:val="D16C508A"/>
    <w:lvl w:ilvl="0" w:tentative="0">
      <w:start w:val="1"/>
      <w:numFmt w:val="chineseCounting"/>
      <w:suff w:val="nothing"/>
      <w:lvlText w:val="%1、"/>
      <w:lvlJc w:val="left"/>
      <w:pPr>
        <w:ind w:left="0" w:hanging="170"/>
      </w:pPr>
      <w:rPr>
        <w:rFonts w:hint="eastAsia"/>
      </w:rPr>
    </w:lvl>
  </w:abstractNum>
  <w:abstractNum w:abstractNumId="1">
    <w:nsid w:val="0BB852AE"/>
    <w:multiLevelType w:val="singleLevel"/>
    <w:tmpl w:val="0BB852AE"/>
    <w:lvl w:ilvl="0" w:tentative="0">
      <w:start w:val="1"/>
      <w:numFmt w:val="decimal"/>
      <w:suff w:val="nothing"/>
      <w:lvlText w:val="[%1]"/>
      <w:lvlJc w:val="left"/>
      <w:pPr>
        <w:tabs>
          <w:tab w:val="left" w:pos="0"/>
        </w:tabs>
      </w:pPr>
      <w:rPr>
        <w:rFonts w:hint="default" w:ascii="宋体" w:hAnsi="宋体" w:eastAsia="宋体" w:cs="宋体"/>
        <w:color w:val="auto"/>
      </w:rPr>
    </w:lvl>
  </w:abstractNum>
  <w:abstractNum w:abstractNumId="2">
    <w:nsid w:val="1733170F"/>
    <w:multiLevelType w:val="singleLevel"/>
    <w:tmpl w:val="1733170F"/>
    <w:lvl w:ilvl="0" w:tentative="0">
      <w:start w:val="1"/>
      <w:numFmt w:val="chineseCounting"/>
      <w:suff w:val="nothing"/>
      <w:lvlText w:val="（%1）"/>
      <w:lvlJc w:val="left"/>
      <w:pPr>
        <w:ind w:left="0" w:hanging="170"/>
      </w:pPr>
      <w:rPr>
        <w:rFonts w:hint="eastAsia"/>
      </w:rPr>
    </w:lvl>
  </w:abstractNum>
  <w:abstractNum w:abstractNumId="3">
    <w:nsid w:val="322CBF4B"/>
    <w:multiLevelType w:val="singleLevel"/>
    <w:tmpl w:val="322CBF4B"/>
    <w:lvl w:ilvl="0" w:tentative="0">
      <w:start w:val="1"/>
      <w:numFmt w:val="chineseCounting"/>
      <w:suff w:val="nothing"/>
      <w:lvlText w:val="（%1）"/>
      <w:lvlJc w:val="left"/>
      <w:pPr>
        <w:ind w:left="0" w:hanging="170"/>
      </w:pPr>
      <w:rPr>
        <w:rFonts w:hint="eastAsia"/>
      </w:rPr>
    </w:lvl>
  </w:abstractNum>
  <w:abstractNum w:abstractNumId="4">
    <w:nsid w:val="7503FDFC"/>
    <w:multiLevelType w:val="singleLevel"/>
    <w:tmpl w:val="7503FDFC"/>
    <w:lvl w:ilvl="0" w:tentative="0">
      <w:start w:val="1"/>
      <w:numFmt w:val="decimal"/>
      <w:suff w:val="space"/>
      <w:lvlText w:val="%1."/>
      <w:lvlJc w:val="left"/>
      <w:pPr>
        <w:ind w:left="0" w:leftChars="0" w:firstLine="0" w:firstLineChars="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NGY2ZGZjNTU2MTBiNDhmNjQ4NzY3MjAxZTkxZTMifQ=="/>
  </w:docVars>
  <w:rsids>
    <w:rsidRoot w:val="00000000"/>
    <w:rsid w:val="0FD208D8"/>
    <w:rsid w:val="170C49EB"/>
    <w:rsid w:val="5266178F"/>
    <w:rsid w:val="53FA7206"/>
    <w:rsid w:val="68C86C9E"/>
    <w:rsid w:val="78FC0AC0"/>
    <w:rsid w:val="7C9F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 w:cs="楷体" w:asciiTheme="minorHAnsi" w:hAnsiTheme="minorHAnsi"/>
      <w:b/>
      <w:bCs/>
      <w:kern w:val="0"/>
      <w:sz w:val="24"/>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autoRedefine/>
    <w:qFormat/>
    <w:uiPriority w:val="0"/>
    <w:pPr>
      <w:widowControl w:val="0"/>
      <w:ind w:left="110"/>
      <w:jc w:val="both"/>
    </w:pPr>
    <w:rPr>
      <w:rFonts w:asciiTheme="minorHAnsi" w:hAnsiTheme="minorHAnsi" w:eastAsiaTheme="minorEastAsia" w:cstheme="minorBidi"/>
      <w:kern w:val="2"/>
      <w:sz w:val="21"/>
      <w:szCs w:val="24"/>
      <w:lang w:val="en-US" w:eastAsia="zh-CN" w:bidi="ar-SA"/>
    </w:rPr>
  </w:style>
  <w:style w:type="character" w:customStyle="1" w:styleId="11">
    <w:name w:val="font71"/>
    <w:basedOn w:val="9"/>
    <w:qFormat/>
    <w:uiPriority w:val="0"/>
    <w:rPr>
      <w:rFonts w:hint="eastAsia" w:ascii="宋体" w:hAnsi="宋体" w:eastAsia="宋体" w:cs="宋体"/>
      <w:b/>
      <w:color w:val="000000"/>
      <w:sz w:val="18"/>
      <w:szCs w:val="18"/>
      <w:u w:val="none"/>
    </w:rPr>
  </w:style>
  <w:style w:type="character" w:customStyle="1" w:styleId="12">
    <w:name w:val="font2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8013</Words>
  <Characters>8903</Characters>
  <Lines>0</Lines>
  <Paragraphs>0</Paragraphs>
  <TotalTime>15</TotalTime>
  <ScaleCrop>false</ScaleCrop>
  <LinksUpToDate>false</LinksUpToDate>
  <CharactersWithSpaces>9316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2024-07-04T02:34:00Z</dcterms:created>
  <dc:creator>Administrator.MM-202305291359</dc:creator>
  <cp:lastModifiedBy>eleven</cp:lastModifiedBy>
  <dcterms:modified xsi:type="dcterms:W3CDTF">2024-07-08T02:02:44Z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542484952414438FA3163AE489362628_12</vt:lpwstr>
  </property>
</Properties>
</file>